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1A251" w14:textId="77777777" w:rsidR="00D61B4D" w:rsidRDefault="00BF3055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Методика расчета показателя "Объем инвестиций в основной капитал"</w:t>
      </w:r>
    </w:p>
    <w:p w14:paraId="158CDC4A" w14:textId="77777777" w:rsidR="00D61B4D" w:rsidRDefault="00BF3055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EBB4B6" w14:textId="77777777" w:rsidR="00D61B4D" w:rsidRDefault="00BF305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Основным документом, регламентирующим инвестиционную деятельность, является Федеральный закон «Об инвестиционной деятельности в Российской Федерации, осуществляемой в форме капитальных вложений» (от 25 февраля 1999 года № 39-ФЗ).</w:t>
      </w:r>
    </w:p>
    <w:p w14:paraId="08807BF1" w14:textId="77777777" w:rsidR="00D61B4D" w:rsidRDefault="00BF305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 </w:t>
      </w:r>
      <w:r>
        <w:rPr>
          <w:rFonts w:ascii="Times New Roman" w:hAnsi="Times New Roman" w:cs="Times New Roman"/>
          <w:b/>
          <w:sz w:val="28"/>
        </w:rPr>
        <w:t>инвестициями в основной капитал</w:t>
      </w:r>
      <w:r>
        <w:rPr>
          <w:rFonts w:ascii="Times New Roman" w:hAnsi="Times New Roman" w:cs="Times New Roman"/>
          <w:sz w:val="28"/>
        </w:rPr>
        <w:t xml:space="preserve"> (капитальные вложения) понимаются затраты на новое строительство, реконструкцию (включая расширение и модернизацию)  и техническое перевооружение действующих предприятий, приобретение транспортных средств, машин, оборудования, инструмента, инвентаря, проектно-изыскательские работы и другие затраты.</w:t>
      </w:r>
    </w:p>
    <w:p w14:paraId="441F8D84" w14:textId="77777777" w:rsidR="00D61B4D" w:rsidRDefault="00BF3055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Субъектами инвестиционной деятельности, осуществляемой в форме капитальных вложений, являются инвесторы, заказчики, подрядчики, пользователи объектов капитальных вложений и другие лица.</w:t>
      </w:r>
    </w:p>
    <w:p w14:paraId="0984C6F1" w14:textId="77777777" w:rsidR="00D61B4D" w:rsidRDefault="00BF3055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Субъекты инвестиционной деятельности вправе совмещать функции двух и более субъектов, если иное не установлено договором или государственным контрактом, заключаемыми между ними.</w:t>
      </w:r>
    </w:p>
    <w:p w14:paraId="45D0B1B0" w14:textId="77777777" w:rsidR="00D61B4D" w:rsidRDefault="00BF3055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Следует обратить внимание, что в статистическом учете в составе инвестиций в основной капитал не учитываются:</w:t>
      </w:r>
    </w:p>
    <w:p w14:paraId="723D983B" w14:textId="77777777" w:rsidR="00D61B4D" w:rsidRDefault="00BF3055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 xml:space="preserve">- затраты на приобретение квартир в объектах жилого фонда, машин, оборудования, транспортных средств, производственного и хозяйственного инвентаря, числившихся ранее на балансе других юридических и физических лиц (кроме приобретения по импорту), т.е.  </w:t>
      </w:r>
      <w:proofErr w:type="spellStart"/>
      <w:r>
        <w:rPr>
          <w:rFonts w:ascii="Times New Roman" w:hAnsi="Times New Roman" w:cs="Times New Roman"/>
          <w:bCs/>
          <w:sz w:val="28"/>
        </w:rPr>
        <w:t>б.у</w:t>
      </w:r>
      <w:proofErr w:type="spellEnd"/>
      <w:r>
        <w:rPr>
          <w:rFonts w:ascii="Times New Roman" w:hAnsi="Times New Roman" w:cs="Times New Roman"/>
          <w:bCs/>
          <w:sz w:val="28"/>
        </w:rPr>
        <w:t>.  основные средства;</w:t>
      </w:r>
      <w:proofErr w:type="gramEnd"/>
    </w:p>
    <w:p w14:paraId="400613D5" w14:textId="77777777" w:rsidR="00D61B4D" w:rsidRDefault="00BF3055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затраты на приобретение объектов,  не завершенных строительством;  </w:t>
      </w:r>
    </w:p>
    <w:p w14:paraId="4433AAB8" w14:textId="77777777" w:rsidR="00D61B4D" w:rsidRDefault="00BF3055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инвестиции в непроизведенные нефинансовые активы, т.е. затраты на приобретение юридическими лицами в собственность земельных участков, объектов природопользования; контрактов, договоров аренды, лицензий (включая права пользования природными объектами), деловой репутации («</w:t>
      </w:r>
      <w:proofErr w:type="spellStart"/>
      <w:r>
        <w:rPr>
          <w:rFonts w:ascii="Times New Roman" w:hAnsi="Times New Roman" w:cs="Times New Roman"/>
          <w:bCs/>
          <w:sz w:val="28"/>
        </w:rPr>
        <w:t>гудвилла</w:t>
      </w:r>
      <w:proofErr w:type="spellEnd"/>
      <w:r>
        <w:rPr>
          <w:rFonts w:ascii="Times New Roman" w:hAnsi="Times New Roman" w:cs="Times New Roman"/>
          <w:bCs/>
          <w:sz w:val="28"/>
        </w:rPr>
        <w:t>») и деловых связей (маркетинговых активов).</w:t>
      </w:r>
    </w:p>
    <w:p w14:paraId="0D29349B" w14:textId="77777777" w:rsidR="00D61B4D" w:rsidRDefault="00BF3055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hAnsi="Times New Roman" w:cs="Times New Roman"/>
          <w:bCs/>
          <w:sz w:val="28"/>
        </w:rPr>
        <w:t>По в</w:t>
      </w:r>
      <w:r>
        <w:rPr>
          <w:rFonts w:ascii="Times New Roman" w:hAnsi="Times New Roman" w:cs="Times New Roman"/>
          <w:bCs/>
          <w:color w:val="000000" w:themeColor="text1"/>
          <w:sz w:val="28"/>
        </w:rPr>
        <w:t>идам основных фондов, в соответствии с Общероссийским классификатором основных фондов 013-2014 (СНС 2008) инвестиции в основной капитал подразделяются на: здания и сооружения;  машины и оборудование;  объекты интеллектуальной собственности; транспортные средства; прочие инвестиции.</w:t>
      </w:r>
    </w:p>
    <w:p w14:paraId="00D3D709" w14:textId="77777777" w:rsidR="00D61B4D" w:rsidRDefault="00BF3055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«Здания и сооружения» включает жилые задания и помещения, здания (кроме жилых), сооружения, расходы на улучшение земель.  </w:t>
      </w:r>
      <w:proofErr w:type="gramStart"/>
      <w:r>
        <w:rPr>
          <w:rFonts w:ascii="Times New Roman" w:hAnsi="Times New Roman" w:cs="Times New Roman"/>
          <w:bCs/>
          <w:sz w:val="28"/>
        </w:rPr>
        <w:t xml:space="preserve">Следует отметить, что в состав затрат на  строительство зданий и сооружений входят как строительно-монтажные работы, так и  прочие капитальные затраты, а именно -  </w:t>
      </w:r>
      <w:r>
        <w:rPr>
          <w:rFonts w:ascii="Times New Roman" w:hAnsi="Times New Roman" w:cs="Times New Roman"/>
          <w:bCs/>
          <w:i/>
          <w:sz w:val="28"/>
        </w:rPr>
        <w:t xml:space="preserve">проектно-изыскательские работы, затраты по отводу земельных участков под </w:t>
      </w:r>
      <w:r>
        <w:rPr>
          <w:rFonts w:ascii="Times New Roman" w:hAnsi="Times New Roman" w:cs="Times New Roman"/>
          <w:bCs/>
          <w:i/>
          <w:sz w:val="28"/>
        </w:rPr>
        <w:lastRenderedPageBreak/>
        <w:t>строительство, выплаты земельного налога (аренды) в период строительства),</w:t>
      </w:r>
      <w:r>
        <w:rPr>
          <w:rFonts w:ascii="Times New Roman" w:hAnsi="Times New Roman" w:cs="Times New Roman"/>
          <w:bCs/>
          <w:sz w:val="28"/>
        </w:rPr>
        <w:t xml:space="preserve"> включаемые при вводе объекта в эксплуатацию в инвентарную стоимость здания (сооружения).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</w:rPr>
        <w:t xml:space="preserve">При этом в затраты на строительство </w:t>
      </w:r>
      <w:r>
        <w:rPr>
          <w:rFonts w:ascii="Times New Roman" w:hAnsi="Times New Roman" w:cs="Times New Roman"/>
          <w:b/>
          <w:bCs/>
          <w:sz w:val="28"/>
        </w:rPr>
        <w:t xml:space="preserve">включаются </w:t>
      </w:r>
      <w:r>
        <w:rPr>
          <w:rFonts w:ascii="Times New Roman" w:hAnsi="Times New Roman" w:cs="Times New Roman"/>
          <w:bCs/>
          <w:sz w:val="28"/>
          <w:u w:val="single"/>
        </w:rPr>
        <w:t>затраты на коммуникации внутри здания</w:t>
      </w:r>
      <w:r>
        <w:rPr>
          <w:rFonts w:ascii="Times New Roman" w:hAnsi="Times New Roman" w:cs="Times New Roman"/>
          <w:bCs/>
          <w:sz w:val="28"/>
        </w:rPr>
        <w:t xml:space="preserve">, </w:t>
      </w:r>
      <w:r>
        <w:rPr>
          <w:rFonts w:ascii="Times New Roman" w:hAnsi="Times New Roman" w:cs="Times New Roman"/>
          <w:bCs/>
          <w:i/>
          <w:sz w:val="28"/>
        </w:rPr>
        <w:t>необходимые для его эксплуатации</w:t>
      </w:r>
      <w:r>
        <w:rPr>
          <w:b/>
          <w:bCs/>
          <w:sz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</w:rPr>
        <w:t xml:space="preserve">вся система отопления и канализации внутри здания, внутренняя сеть газопровода, водопровода, силовой и осветительной электропроводки, телефонной электропроводки, вентиляционные устройства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общесанитарного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назначения, подъемники и лифты и другие подобные объекты),</w:t>
      </w:r>
      <w:r>
        <w:rPr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но </w:t>
      </w:r>
      <w:r>
        <w:rPr>
          <w:rFonts w:ascii="Times New Roman" w:hAnsi="Times New Roman" w:cs="Times New Roman"/>
          <w:b/>
          <w:bCs/>
          <w:sz w:val="28"/>
          <w:u w:val="single"/>
        </w:rPr>
        <w:t>не включается</w:t>
      </w:r>
      <w:r>
        <w:rPr>
          <w:rFonts w:ascii="Times New Roman" w:hAnsi="Times New Roman" w:cs="Times New Roman"/>
          <w:bCs/>
          <w:sz w:val="28"/>
        </w:rPr>
        <w:t xml:space="preserve"> плата за землю при покупке, изъятии (выкупе) земельных участков для строительства.</w:t>
      </w:r>
      <w:proofErr w:type="gramEnd"/>
    </w:p>
    <w:p w14:paraId="59ED14A3" w14:textId="77777777" w:rsidR="00D61B4D" w:rsidRDefault="00BF3055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«Машины и оборудование» включают информационное, компьютерное </w:t>
      </w:r>
      <w:r>
        <w:rPr>
          <w:rFonts w:ascii="Times New Roman" w:hAnsi="Times New Roman" w:cs="Times New Roman"/>
          <w:bCs/>
          <w:sz w:val="28"/>
        </w:rPr>
        <w:br/>
        <w:t xml:space="preserve">и телекоммуникационное (ИКТ) оборудование; прочие машины и оборудование, включая хозяйственный инвентарь, и другие объекты.  В состав затрат на приобретение машин и оборудование </w:t>
      </w:r>
      <w:r>
        <w:rPr>
          <w:rFonts w:ascii="Times New Roman" w:hAnsi="Times New Roman" w:cs="Times New Roman"/>
          <w:b/>
          <w:bCs/>
          <w:sz w:val="28"/>
        </w:rPr>
        <w:t>не включаются</w:t>
      </w:r>
      <w:r>
        <w:rPr>
          <w:rFonts w:ascii="Times New Roman" w:hAnsi="Times New Roman" w:cs="Times New Roman"/>
          <w:bCs/>
          <w:sz w:val="28"/>
        </w:rPr>
        <w:t xml:space="preserve">: </w:t>
      </w:r>
    </w:p>
    <w:p w14:paraId="773D9D09" w14:textId="77777777" w:rsidR="00D61B4D" w:rsidRDefault="00BF3055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машины и оборудование, приобретаемые с целью перепродажи;</w:t>
      </w:r>
    </w:p>
    <w:p w14:paraId="11BE5630" w14:textId="77777777" w:rsidR="00D61B4D" w:rsidRDefault="00BF3055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санитарно-техническое и другое оборудование, относимое к стоимости зданий;</w:t>
      </w:r>
    </w:p>
    <w:p w14:paraId="4DFD22EA" w14:textId="77777777" w:rsidR="00D61B4D" w:rsidRDefault="00BF3055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стоимость машин и оборудования, полученных на условиях финансового лизинга и учтенных лизингополучателем на </w:t>
      </w:r>
      <w:proofErr w:type="spellStart"/>
      <w:r>
        <w:rPr>
          <w:rFonts w:ascii="Times New Roman" w:hAnsi="Times New Roman" w:cs="Times New Roman"/>
          <w:bCs/>
          <w:sz w:val="28"/>
        </w:rPr>
        <w:t>забалансовом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счете;</w:t>
      </w:r>
    </w:p>
    <w:p w14:paraId="03313CAF" w14:textId="77777777" w:rsidR="00D61B4D" w:rsidRDefault="00BF3055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>
        <w:rPr>
          <w:rFonts w:ascii="Times New Roman" w:hAnsi="Times New Roman" w:cs="Times New Roman"/>
          <w:bCs/>
          <w:sz w:val="28"/>
          <w:u w:val="single"/>
        </w:rPr>
        <w:t>пусковые расходы: проверка готовности новых производств, цехов и агрегатов к вводу их в эксплуатацию путем комплексного опробования</w:t>
      </w:r>
      <w:r>
        <w:rPr>
          <w:rFonts w:ascii="Times New Roman" w:hAnsi="Times New Roman" w:cs="Times New Roman"/>
          <w:bCs/>
          <w:sz w:val="28"/>
        </w:rPr>
        <w:t xml:space="preserve"> (под нагрузкой) всех машин и механизмов (пробная эксплуатация) с пробным выпуском предусмотренной проектом продукции, наладка оборудования, которые включаются в себестоимость продукции (работ, услуг).</w:t>
      </w:r>
    </w:p>
    <w:p w14:paraId="12F1B89A" w14:textId="737CA52E" w:rsidR="00D61B4D" w:rsidRDefault="00BF3055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Группа «транспортные средства» включает в себя различные виды транспорта – железнодорожный, автомобильный, воздушный и т.д. В состав затрат на приобретение транспортных сре</w:t>
      </w:r>
      <w:proofErr w:type="gramStart"/>
      <w:r>
        <w:rPr>
          <w:rFonts w:ascii="Times New Roman" w:hAnsi="Times New Roman" w:cs="Times New Roman"/>
          <w:bCs/>
          <w:sz w:val="28"/>
        </w:rPr>
        <w:t xml:space="preserve">дств </w:t>
      </w:r>
      <w:r>
        <w:rPr>
          <w:rFonts w:ascii="Times New Roman" w:hAnsi="Times New Roman" w:cs="Times New Roman"/>
          <w:b/>
          <w:bCs/>
          <w:sz w:val="28"/>
        </w:rPr>
        <w:t>вкл</w:t>
      </w:r>
      <w:proofErr w:type="gramEnd"/>
      <w:r>
        <w:rPr>
          <w:rFonts w:ascii="Times New Roman" w:hAnsi="Times New Roman" w:cs="Times New Roman"/>
          <w:b/>
          <w:bCs/>
          <w:sz w:val="28"/>
        </w:rPr>
        <w:t>ючается</w:t>
      </w:r>
      <w:r>
        <w:rPr>
          <w:rFonts w:ascii="Times New Roman" w:hAnsi="Times New Roman" w:cs="Times New Roman"/>
          <w:bCs/>
          <w:sz w:val="28"/>
        </w:rPr>
        <w:t xml:space="preserve"> стоимость </w:t>
      </w:r>
      <w:r>
        <w:rPr>
          <w:rFonts w:ascii="Times New Roman" w:hAnsi="Times New Roman" w:cs="Times New Roman"/>
          <w:bCs/>
          <w:sz w:val="28"/>
          <w:u w:val="single"/>
        </w:rPr>
        <w:t>безвозмездно полученных</w:t>
      </w:r>
      <w:r>
        <w:rPr>
          <w:rFonts w:ascii="Times New Roman" w:hAnsi="Times New Roman" w:cs="Times New Roman"/>
          <w:bCs/>
          <w:sz w:val="28"/>
        </w:rPr>
        <w:t xml:space="preserve"> (</w:t>
      </w:r>
      <w:r>
        <w:rPr>
          <w:rFonts w:ascii="Times New Roman" w:hAnsi="Times New Roman" w:cs="Times New Roman"/>
          <w:bCs/>
          <w:i/>
          <w:sz w:val="28"/>
        </w:rPr>
        <w:t>от вышестоящих организаций, в качестве технологической и гуманитарной помощи, за счет средств федеральных целевых программ</w:t>
      </w:r>
      <w:r>
        <w:rPr>
          <w:rFonts w:ascii="Times New Roman" w:hAnsi="Times New Roman" w:cs="Times New Roman"/>
          <w:bCs/>
          <w:sz w:val="28"/>
        </w:rPr>
        <w:t xml:space="preserve">) </w:t>
      </w:r>
      <w:r>
        <w:rPr>
          <w:rFonts w:ascii="Times New Roman" w:hAnsi="Times New Roman" w:cs="Times New Roman"/>
          <w:bCs/>
          <w:sz w:val="28"/>
          <w:u w:val="single"/>
        </w:rPr>
        <w:t>транспортных средств</w:t>
      </w:r>
      <w:r>
        <w:rPr>
          <w:rFonts w:ascii="Times New Roman" w:hAnsi="Times New Roman" w:cs="Times New Roman"/>
          <w:bCs/>
          <w:sz w:val="28"/>
        </w:rPr>
        <w:t xml:space="preserve"> (в части новых, а также поступивших по импорту), принятых в бухгалтерском учете в качестве основных средств. </w:t>
      </w:r>
      <w:r>
        <w:rPr>
          <w:rFonts w:ascii="Times New Roman" w:hAnsi="Times New Roman" w:cs="Times New Roman"/>
          <w:b/>
          <w:bCs/>
          <w:sz w:val="28"/>
          <w:u w:val="single"/>
        </w:rPr>
        <w:t>Однако не включается</w:t>
      </w:r>
      <w:r>
        <w:rPr>
          <w:rFonts w:ascii="Times New Roman" w:hAnsi="Times New Roman" w:cs="Times New Roman"/>
          <w:bCs/>
          <w:sz w:val="28"/>
        </w:rPr>
        <w:t xml:space="preserve"> стоимость транспортных средств, полученных на условиях финансового лизинга и учтенных лизингополучателем на </w:t>
      </w:r>
      <w:proofErr w:type="spellStart"/>
      <w:r>
        <w:rPr>
          <w:rFonts w:ascii="Times New Roman" w:hAnsi="Times New Roman" w:cs="Times New Roman"/>
          <w:bCs/>
          <w:sz w:val="28"/>
        </w:rPr>
        <w:t>забалансовом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счете</w:t>
      </w:r>
      <w:r w:rsidR="00C34A7A">
        <w:rPr>
          <w:rFonts w:ascii="Times New Roman" w:hAnsi="Times New Roman" w:cs="Times New Roman"/>
          <w:bCs/>
          <w:sz w:val="28"/>
        </w:rPr>
        <w:t>.</w:t>
      </w:r>
    </w:p>
    <w:p w14:paraId="5E43BA2C" w14:textId="77777777" w:rsidR="00D61B4D" w:rsidRDefault="00BF3055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«Объекты интеллектуальной собственности» включают научные исследования и разработки, расходы на разведку недр и оценку запасов полезных ископаемых, программное обеспечение, базы данных, оригиналы произведений развлекательного жанра, литературы и искусства; права пользования нематериальными активами.</w:t>
      </w:r>
    </w:p>
    <w:p w14:paraId="674A0CBD" w14:textId="77777777" w:rsidR="00D61B4D" w:rsidRDefault="00BF3055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 состав «прочих инвестиций» включаются затраты на формирование рабочего, продуктивного и племенного стада; затраты по насаждению </w:t>
      </w:r>
      <w:r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lastRenderedPageBreak/>
        <w:t>и выращиванию многолетних культур</w:t>
      </w:r>
      <w:proofErr w:type="gramStart"/>
      <w:r>
        <w:rPr>
          <w:rFonts w:ascii="Times New Roman" w:hAnsi="Times New Roman" w:cs="Times New Roman"/>
          <w:bCs/>
          <w:sz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</w:rPr>
        <w:t>н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а возмещение убытков землепользователям; затраты на эксплуатационное бурение, связанное с добычей нефти, газа и газового конденсата; культивируемые ресурсы растительного и животного происхождения, неоднократно дающие продукцию; </w:t>
      </w:r>
      <w:proofErr w:type="gramStart"/>
      <w:r>
        <w:rPr>
          <w:rFonts w:ascii="Times New Roman" w:hAnsi="Times New Roman" w:cs="Times New Roman"/>
          <w:bCs/>
          <w:sz w:val="28"/>
        </w:rPr>
        <w:t>затраты на приобретение фондов библиотек, специализированных организаций научно-технической информации, архивов, музеев и других подобных учреждений; кинофотодокументов; произведений искусства, не относящихся к оригинальным, то есть копий; предметов религиозного культа; расходы по организации и проведению подрядных торгов; затраты на приобретение оружия (кроме используемого в целях обеспечения военной безопасности государства);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стоимость расходов на передачу прав собственности при покупке непроизведенных активов (кроме земельных участков); другие, не перечисленные выше расходы и затраты в основные средства.</w:t>
      </w:r>
    </w:p>
    <w:p w14:paraId="1ED797F0" w14:textId="77777777" w:rsidR="00D61B4D" w:rsidRDefault="00BF3055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Инвестиции в основной капитал по источникам финансирования подразделяются на собственные средства и привлеченные. Привлеченные включают кредиты банков (из них кредиты иностранных банков), заемные средства других организаций, инвестиции из-за рубежа, бюджетные средства (из федерального бюджета, из бюджетов субъектов Российской Федерации и из местных бюджетов), средства государственных внебюджетных фондов и прочие источники финансирования.</w:t>
      </w:r>
    </w:p>
    <w:p w14:paraId="4FEC8D88" w14:textId="77777777" w:rsidR="00D61B4D" w:rsidRDefault="00BF3055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Основой для формирования квартальных итогов по инвестициям в основной капитал являются сведения по форме федерального статистического наблюдения № П-2 (</w:t>
      </w:r>
      <w:proofErr w:type="gramStart"/>
      <w:r>
        <w:rPr>
          <w:rFonts w:ascii="Times New Roman" w:hAnsi="Times New Roman" w:cs="Times New Roman"/>
          <w:bCs/>
          <w:sz w:val="28"/>
        </w:rPr>
        <w:t>квартальная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) «Сведения об инвестициях в нефинансовые активы». Данную форму предоставляют юридические лица – коммерческие и некоммерческие организации (кроме субъектов малого предпринимательства), осуществляющие все виды экономической деятельности. </w:t>
      </w:r>
    </w:p>
    <w:p w14:paraId="40FE6EDA" w14:textId="77777777" w:rsidR="00D61B4D" w:rsidRDefault="00BF3055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Форма № П-2 (квартальная) является основой для дальнейшего расчета объема инвестиций в основной капитал до полного круга организаций в течение отчетного года.</w:t>
      </w:r>
    </w:p>
    <w:p w14:paraId="7BEF6FDE" w14:textId="77777777" w:rsidR="00D61B4D" w:rsidRDefault="00BF3055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Оценка общего объема инвестиций в основной капитал по полному кругу по итогам отчетного года осуществляется на основе данных статистической отчетности по крупным и средним организациям, малым, </w:t>
      </w:r>
      <w:proofErr w:type="spellStart"/>
      <w:r>
        <w:rPr>
          <w:rFonts w:ascii="Times New Roman" w:hAnsi="Times New Roman" w:cs="Times New Roman"/>
          <w:bCs/>
          <w:sz w:val="28"/>
        </w:rPr>
        <w:t>микропредприятиям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и  индивидуальным предпринимателям (форм статистического наблюдения № П-2 (</w:t>
      </w:r>
      <w:proofErr w:type="spellStart"/>
      <w:r>
        <w:rPr>
          <w:rFonts w:ascii="Times New Roman" w:hAnsi="Times New Roman" w:cs="Times New Roman"/>
          <w:bCs/>
          <w:sz w:val="28"/>
        </w:rPr>
        <w:t>инвест</w:t>
      </w:r>
      <w:proofErr w:type="spellEnd"/>
      <w:r>
        <w:rPr>
          <w:rFonts w:ascii="Times New Roman" w:hAnsi="Times New Roman" w:cs="Times New Roman"/>
          <w:bCs/>
          <w:sz w:val="28"/>
        </w:rPr>
        <w:t>), ПМ, МП (микро), сплошного наблюдения малого бизнеса, ф. 1-СОНК</w:t>
      </w:r>
      <w:proofErr w:type="gramStart"/>
      <w:r>
        <w:rPr>
          <w:rFonts w:ascii="Times New Roman" w:hAnsi="Times New Roman" w:cs="Times New Roman"/>
          <w:bCs/>
          <w:sz w:val="28"/>
        </w:rPr>
        <w:t>О(</w:t>
      </w:r>
      <w:proofErr w:type="gramEnd"/>
      <w:r>
        <w:rPr>
          <w:rFonts w:ascii="Times New Roman" w:hAnsi="Times New Roman" w:cs="Times New Roman"/>
          <w:bCs/>
          <w:sz w:val="28"/>
        </w:rPr>
        <w:t>Р) и № 1-разрешение).</w:t>
      </w:r>
    </w:p>
    <w:p w14:paraId="2BA38D36" w14:textId="77777777" w:rsidR="00D61B4D" w:rsidRDefault="00BF3055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251F6">
        <w:rPr>
          <w:rFonts w:ascii="Times New Roman" w:hAnsi="Times New Roman" w:cs="Times New Roman"/>
          <w:bCs/>
          <w:sz w:val="28"/>
          <w:highlight w:val="yellow"/>
        </w:rPr>
        <w:t xml:space="preserve">Определение объема инвестиций в основной капитал с учетом деятельности, не наблюдаемой прямыми статистическими методами, осуществляется на региональном уровне комбинированным методом, основанным на сочетании данных прямого статистического наблюдения, информации </w:t>
      </w:r>
      <w:r w:rsidRPr="004251F6">
        <w:rPr>
          <w:rFonts w:ascii="Times New Roman" w:hAnsi="Times New Roman" w:cs="Times New Roman"/>
          <w:bCs/>
          <w:sz w:val="28"/>
          <w:highlight w:val="yellow"/>
        </w:rPr>
        <w:lastRenderedPageBreak/>
        <w:t>административных источников и экономических расчетов деятельности, не наблюдаемой прямыми статистическими методами.</w:t>
      </w:r>
    </w:p>
    <w:p w14:paraId="3C6D2A4F" w14:textId="77777777" w:rsidR="00D61B4D" w:rsidRDefault="00BF3055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последние годы в области наблюдается цикличный характер инвестиционной активности предпри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>ятий. Так, в 2018 гг. по сравнению с 2017 г. происходило снижение объемов инвестиций в основной капитал, в 2019-2020 гг. наблюдался рост данного показателя, в 2021 г. снова снижение, а с 2022 г. опять наблюдается тенденция увеличения.</w:t>
      </w:r>
    </w:p>
    <w:p w14:paraId="42FCDC6F" w14:textId="77777777" w:rsidR="00D61B4D" w:rsidRDefault="00BF3055">
      <w:pPr>
        <w:spacing w:after="0" w:line="288" w:lineRule="auto"/>
        <w:ind w:firstLine="709"/>
        <w:jc w:val="both"/>
        <w:rPr>
          <w:rFonts w:ascii="Times New Roman" w:hAnsi="Times New Roman" w:cs="Times New Roman"/>
          <w:spacing w:val="-4"/>
          <w:sz w:val="28"/>
        </w:rPr>
      </w:pPr>
      <w:r>
        <w:rPr>
          <w:rFonts w:ascii="Times New Roman" w:hAnsi="Times New Roman" w:cs="Times New Roman"/>
          <w:spacing w:val="-4"/>
          <w:sz w:val="28"/>
        </w:rPr>
        <w:t>Рассматривая структуру формирования инвестиций в основной капитал, можно отметить, что наибольшую долю объема инвестиций занимают крупные и средние организации. Так в 2017 г. на их долю приходилось 58,1%, а в 2024 г. – 68,2%.</w:t>
      </w:r>
    </w:p>
    <w:p w14:paraId="79A16FF4" w14:textId="77777777" w:rsidR="00D61B4D" w:rsidRDefault="00BF3055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pacing w:val="-4"/>
          <w:sz w:val="28"/>
        </w:rPr>
      </w:pPr>
      <w:r>
        <w:rPr>
          <w:rFonts w:ascii="Times New Roman" w:hAnsi="Times New Roman" w:cs="Times New Roman"/>
          <w:spacing w:val="-4"/>
          <w:sz w:val="28"/>
        </w:rPr>
        <w:t>По видовой структуре инвестиций в основной капитал, можно отметить, что наибольшая доля объема инвестиций всех организаций области приходится на машины, оборудование, транспортные средства, производственный и хозяйственный инвентарь. В 2023 г. - это 40,8% всего объема инвестиций в основной капитал, по оперативным данным 2024 г. – 45,4%. Данный факт отражает объективную потребность в обновлении и модернизации основных фондов предприятий.</w:t>
      </w:r>
    </w:p>
    <w:p w14:paraId="4150D77B" w14:textId="77777777" w:rsidR="00D61B4D" w:rsidRDefault="00BF3055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Доля инвестиций в здания (кроме жилых) и сооружения, расходы на улучшение земель в 2024 г. уменьшилась по сравнению с 2023 г. на 1,7 </w:t>
      </w:r>
      <w:proofErr w:type="spellStart"/>
      <w:r>
        <w:rPr>
          <w:rFonts w:ascii="Times New Roman" w:hAnsi="Times New Roman" w:cs="Times New Roman"/>
          <w:sz w:val="28"/>
        </w:rPr>
        <w:t>п.п</w:t>
      </w:r>
      <w:proofErr w:type="spellEnd"/>
      <w:r>
        <w:rPr>
          <w:rFonts w:ascii="Times New Roman" w:hAnsi="Times New Roman" w:cs="Times New Roman"/>
          <w:sz w:val="28"/>
        </w:rPr>
        <w:t xml:space="preserve">. и составила 31,3%; направленных на развитие жилищного строительства снизилась по сравнению с уровнем 2023 г. на 2,1 </w:t>
      </w:r>
      <w:proofErr w:type="spellStart"/>
      <w:r>
        <w:rPr>
          <w:rFonts w:ascii="Times New Roman" w:hAnsi="Times New Roman" w:cs="Times New Roman"/>
          <w:sz w:val="28"/>
        </w:rPr>
        <w:t>п.п</w:t>
      </w:r>
      <w:proofErr w:type="spellEnd"/>
      <w:r>
        <w:rPr>
          <w:rFonts w:ascii="Times New Roman" w:hAnsi="Times New Roman" w:cs="Times New Roman"/>
          <w:sz w:val="28"/>
        </w:rPr>
        <w:t>. и составила 16,0% в общем объеме инвестиций.</w:t>
      </w:r>
      <w:proofErr w:type="gramEnd"/>
    </w:p>
    <w:p w14:paraId="55675CA1" w14:textId="77777777" w:rsidR="00D61B4D" w:rsidRDefault="00BF3055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инвестиционного процесса связана с поиском решений в области определения возможных источников финансирования инвестиций, повышения эффективности их использования.</w:t>
      </w:r>
    </w:p>
    <w:p w14:paraId="7959693F" w14:textId="77777777" w:rsidR="00D61B4D" w:rsidRDefault="00BF3055">
      <w:pPr>
        <w:widowControl w:val="0"/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инвестиций в основной капитал преобладают собственные средства. Так в 2017 г. на их долю приходилось 62,3%, а, по предварительным данным, в 2024 г. – 72,6%.</w:t>
      </w:r>
    </w:p>
    <w:p w14:paraId="76279124" w14:textId="329447E5" w:rsidR="00D61B4D" w:rsidRDefault="00BF3055">
      <w:pPr>
        <w:widowControl w:val="0"/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Одним из основных источников привлеченных средств является банковский кредит. Отметим, что в 2024 г. по сравнению с 2017 г. доля банковской сферы в формировании инвестиций в основной капитал снизилась с 14,4% до 6,7%. А вот доля бюджетных средств, наоборот, выросла с 13,5% до 18,4% (общего объема инвестиций). Доля прочих источников финансирования снизилась с 7,6% до 1,6%.</w:t>
      </w:r>
    </w:p>
    <w:p w14:paraId="66F80AA3" w14:textId="0FD9D385" w:rsidR="00D61B4D" w:rsidRDefault="00BF3055">
      <w:pPr>
        <w:widowControl w:val="0"/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Доля заемных средств, средств внебюджетных фондов изменилась незначительно.</w:t>
      </w:r>
    </w:p>
    <w:p w14:paraId="54BCF318" w14:textId="77777777" w:rsidR="00D61B4D" w:rsidRDefault="00BF3055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Доля бюджетных средств в общем объеме инвестиций остается относительно стабильной. Наибольшее значение данный показатель достиг в 2024 г.  и составил 25,3%, при доле средств федерального бюджета – 7,6%.  </w:t>
      </w:r>
    </w:p>
    <w:p w14:paraId="6FC6BE6D" w14:textId="77777777" w:rsidR="00D61B4D" w:rsidRDefault="00D61B4D">
      <w:pPr>
        <w:pStyle w:val="24"/>
        <w:spacing w:before="0" w:line="264" w:lineRule="auto"/>
        <w:ind w:firstLine="0"/>
        <w:jc w:val="center"/>
        <w:rPr>
          <w:sz w:val="2"/>
          <w:szCs w:val="2"/>
        </w:rPr>
      </w:pPr>
    </w:p>
    <w:p w14:paraId="36844C37" w14:textId="77777777" w:rsidR="00D61B4D" w:rsidRDefault="00BF3055">
      <w:pPr>
        <w:pStyle w:val="24"/>
        <w:spacing w:before="0" w:line="264" w:lineRule="auto"/>
        <w:rPr>
          <w:sz w:val="28"/>
        </w:rPr>
      </w:pPr>
      <w:r>
        <w:rPr>
          <w:sz w:val="28"/>
        </w:rPr>
        <w:t xml:space="preserve">Бюджетные средства использовались, в основном, на развитие организаций </w:t>
      </w:r>
      <w:r>
        <w:rPr>
          <w:sz w:val="28"/>
        </w:rPr>
        <w:lastRenderedPageBreak/>
        <w:t>таких видов деятельности, как государственное управление и обеспечение военной безопасности; социальное обеспечение; деятельность профессиональная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научная и техническая; образование и деятельность в области здравоохранения.</w:t>
      </w:r>
    </w:p>
    <w:p w14:paraId="0C6CB41F" w14:textId="77777777" w:rsidR="00D61B4D" w:rsidRDefault="00BF3055">
      <w:pPr>
        <w:pStyle w:val="24"/>
        <w:spacing w:before="0" w:line="264" w:lineRule="auto"/>
        <w:rPr>
          <w:spacing w:val="-2"/>
          <w:sz w:val="28"/>
        </w:rPr>
      </w:pPr>
      <w:r>
        <w:rPr>
          <w:spacing w:val="-2"/>
          <w:sz w:val="28"/>
        </w:rPr>
        <w:t>В области активно реализуются федеральные и региональные инвестиционные программы, целью которых является поддержка социальной сферы и систем жизнеобеспечения, развитие муниципальных образований области. Основным инструментом реализации указанных направлений являются федеральные целевые программы.</w:t>
      </w:r>
    </w:p>
    <w:p w14:paraId="4146D072" w14:textId="77777777" w:rsidR="00D61B4D" w:rsidRDefault="00BF305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251F6">
        <w:rPr>
          <w:rFonts w:ascii="Times New Roman" w:hAnsi="Times New Roman" w:cs="Times New Roman"/>
          <w:sz w:val="28"/>
          <w:highlight w:val="yellow"/>
        </w:rPr>
        <w:t>По оперативным данным основной объем инвестиций в основной капитал (</w:t>
      </w:r>
      <w:r w:rsidRPr="004251F6">
        <w:rPr>
          <w:rFonts w:ascii="Times New Roman" w:hAnsi="Times New Roman" w:cs="Times New Roman"/>
          <w:b/>
          <w:sz w:val="28"/>
          <w:highlight w:val="yellow"/>
        </w:rPr>
        <w:t>без субъектов малого предпринимательства, и объема инвестиций, не наблюдаемых прямыми статистическими методами</w:t>
      </w:r>
      <w:r w:rsidRPr="004251F6">
        <w:rPr>
          <w:rFonts w:ascii="Times New Roman" w:hAnsi="Times New Roman" w:cs="Times New Roman"/>
          <w:sz w:val="28"/>
          <w:highlight w:val="yellow"/>
        </w:rPr>
        <w:t>) в 2024 г. был направлен на развитие организаций следующих видов экономической деятельности: сельское, лесное хозяйство, охота, рыболовство и рыбоводство (13,9%); добыча полезных ископаемых (27,7%), обрабатывающие производства (14,7%), обеспечение</w:t>
      </w:r>
      <w:r>
        <w:rPr>
          <w:rFonts w:ascii="Times New Roman" w:hAnsi="Times New Roman" w:cs="Times New Roman"/>
          <w:sz w:val="28"/>
        </w:rPr>
        <w:t xml:space="preserve"> электрической энергией, газом и паром;</w:t>
      </w:r>
      <w:proofErr w:type="gramEnd"/>
      <w:r>
        <w:rPr>
          <w:rFonts w:ascii="Times New Roman" w:hAnsi="Times New Roman" w:cs="Times New Roman"/>
          <w:sz w:val="28"/>
        </w:rPr>
        <w:t xml:space="preserve"> кондиционирование воздуха  (9,3%). </w:t>
      </w:r>
    </w:p>
    <w:p w14:paraId="54B76E51" w14:textId="4C0630DF" w:rsidR="00D61B4D" w:rsidRDefault="00BF305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итоги по муниципальным образованиям по показателям формы</w:t>
      </w:r>
      <w:r w:rsidR="00C34A7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№ П-2 формируются по организациям, не относящимся к субъектам малого предпринимательства, расположенным на территории муниципального образования.</w:t>
      </w:r>
    </w:p>
    <w:p w14:paraId="1C100F84" w14:textId="77777777" w:rsidR="00D61B4D" w:rsidRDefault="00BF305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Индекс физического объема инвестиций в основной капитал по 10 муниципальным образованиям превышает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среднеобластной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среди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районы, Новооскольский,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Алексеевский муниципальные округа,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 и др. По 11 муниципальным образованиям ИФО ниже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среднеобластного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округ, Красногвардейский,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Вейделевский, Белгородский районы,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Грайворонский муниципальные округа и др. </w:t>
      </w:r>
    </w:p>
    <w:p w14:paraId="2F2FF89F" w14:textId="77777777" w:rsidR="00D61B4D" w:rsidRDefault="00BF305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Данные об объеме инвестиций в основной капитал, осуществляемых на территории муниципального образования, по полному кругу хозяйствующих субъектов не разрабатываются в связи с отсутствием достаточной информационной базы.</w:t>
      </w:r>
    </w:p>
    <w:p w14:paraId="5E61B20B" w14:textId="636254E4" w:rsidR="00D61B4D" w:rsidRDefault="00BF3055">
      <w:pPr>
        <w:pStyle w:val="24"/>
        <w:tabs>
          <w:tab w:val="left" w:pos="4962"/>
        </w:tabs>
        <w:spacing w:before="0" w:line="288" w:lineRule="auto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 соответствии с </w:t>
      </w:r>
      <w:hyperlink r:id="rId6">
        <w:r>
          <w:rPr>
            <w:rFonts w:eastAsia="Calibri"/>
            <w:sz w:val="28"/>
            <w:szCs w:val="28"/>
          </w:rPr>
          <w:t>Указом</w:t>
        </w:r>
      </w:hyperlink>
      <w:r>
        <w:rPr>
          <w:rFonts w:eastAsia="Calibri"/>
          <w:sz w:val="28"/>
          <w:szCs w:val="28"/>
        </w:rPr>
        <w:t xml:space="preserve"> Президента Российской Федерации от </w:t>
      </w:r>
      <w:r w:rsidR="00095013">
        <w:rPr>
          <w:rFonts w:eastAsia="Calibri"/>
          <w:sz w:val="28"/>
          <w:szCs w:val="28"/>
        </w:rPr>
        <w:t>28</w:t>
      </w:r>
      <w:r>
        <w:rPr>
          <w:rFonts w:eastAsia="Calibri"/>
          <w:sz w:val="28"/>
          <w:szCs w:val="28"/>
        </w:rPr>
        <w:t xml:space="preserve"> </w:t>
      </w:r>
      <w:r w:rsidR="00095013">
        <w:rPr>
          <w:rFonts w:eastAsia="Calibri"/>
          <w:sz w:val="28"/>
          <w:szCs w:val="28"/>
        </w:rPr>
        <w:t>ноябр</w:t>
      </w:r>
      <w:r>
        <w:rPr>
          <w:rFonts w:eastAsia="Calibri"/>
          <w:sz w:val="28"/>
          <w:szCs w:val="28"/>
        </w:rPr>
        <w:t>я 202</w:t>
      </w:r>
      <w:r w:rsidR="00095013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г. № </w:t>
      </w:r>
      <w:r w:rsidR="00095013">
        <w:rPr>
          <w:rFonts w:eastAsia="Calibri"/>
          <w:sz w:val="28"/>
          <w:szCs w:val="28"/>
        </w:rPr>
        <w:t>1014</w:t>
      </w:r>
      <w:r>
        <w:rPr>
          <w:rFonts w:eastAsia="Calibri"/>
          <w:sz w:val="28"/>
          <w:szCs w:val="28"/>
        </w:rPr>
        <w:t xml:space="preserve"> («</w:t>
      </w:r>
      <w:r w:rsidR="00095013" w:rsidRPr="00095013">
        <w:rPr>
          <w:rFonts w:eastAsiaTheme="minorEastAsia"/>
          <w:sz w:val="28"/>
          <w:szCs w:val="28"/>
        </w:rPr>
        <w:t>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</w:r>
      <w:r w:rsidRPr="00095013">
        <w:rPr>
          <w:rFonts w:eastAsiaTheme="minorEastAsia"/>
          <w:sz w:val="28"/>
          <w:szCs w:val="28"/>
        </w:rPr>
        <w:t>»)</w:t>
      </w:r>
      <w:r>
        <w:rPr>
          <w:rFonts w:eastAsia="Calibri"/>
          <w:sz w:val="28"/>
          <w:szCs w:val="28"/>
        </w:rPr>
        <w:t xml:space="preserve"> и положений Постановления Правительства Российской Федерации от </w:t>
      </w:r>
      <w:r w:rsidR="00095013">
        <w:rPr>
          <w:rFonts w:eastAsia="Calibri"/>
          <w:sz w:val="28"/>
          <w:szCs w:val="28"/>
        </w:rPr>
        <w:t>28</w:t>
      </w:r>
      <w:r>
        <w:rPr>
          <w:rFonts w:eastAsia="Calibri"/>
          <w:sz w:val="28"/>
          <w:szCs w:val="28"/>
        </w:rPr>
        <w:t xml:space="preserve"> </w:t>
      </w:r>
      <w:r w:rsidR="00095013">
        <w:rPr>
          <w:rFonts w:eastAsia="Calibri"/>
          <w:sz w:val="28"/>
          <w:szCs w:val="28"/>
        </w:rPr>
        <w:t>января</w:t>
      </w:r>
      <w:r>
        <w:rPr>
          <w:rFonts w:eastAsia="Calibri"/>
          <w:sz w:val="28"/>
          <w:szCs w:val="28"/>
        </w:rPr>
        <w:t xml:space="preserve"> 202</w:t>
      </w:r>
      <w:r w:rsidR="00095013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№ </w:t>
      </w:r>
      <w:r w:rsidR="00095013">
        <w:rPr>
          <w:rFonts w:eastAsia="Calibri"/>
          <w:sz w:val="28"/>
          <w:szCs w:val="28"/>
        </w:rPr>
        <w:t>58</w:t>
      </w:r>
      <w:r>
        <w:rPr>
          <w:rFonts w:eastAsia="Calibri"/>
          <w:sz w:val="28"/>
          <w:szCs w:val="28"/>
        </w:rPr>
        <w:t xml:space="preserve"> одним из показателей оценки эффективности деятельности высших должностных лиц является «</w:t>
      </w:r>
      <w:r>
        <w:rPr>
          <w:rFonts w:eastAsia="Calibri"/>
          <w:b/>
          <w:sz w:val="28"/>
          <w:szCs w:val="28"/>
        </w:rPr>
        <w:t>Темп роста (индекс роста) физического объема инвестиций в основной</w:t>
      </w:r>
      <w:proofErr w:type="gramEnd"/>
      <w:r>
        <w:rPr>
          <w:rFonts w:eastAsia="Calibri"/>
          <w:b/>
          <w:sz w:val="28"/>
          <w:szCs w:val="28"/>
        </w:rPr>
        <w:t xml:space="preserve"> капитал, за исключением инвестиций инфраструктурных монополий (федеральные </w:t>
      </w:r>
      <w:r>
        <w:rPr>
          <w:rFonts w:eastAsia="Calibri"/>
          <w:b/>
          <w:sz w:val="28"/>
          <w:szCs w:val="28"/>
        </w:rPr>
        <w:lastRenderedPageBreak/>
        <w:t>проекты) и бюджетных ассигнований федерального бюджета» за отчетный период (прошедший год)».</w:t>
      </w:r>
    </w:p>
    <w:p w14:paraId="64F8385F" w14:textId="77777777" w:rsidR="00D61B4D" w:rsidRDefault="00BF3055">
      <w:pPr>
        <w:pStyle w:val="24"/>
        <w:tabs>
          <w:tab w:val="left" w:pos="4962"/>
        </w:tabs>
        <w:spacing w:before="0" w:line="288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Показатель  рассчитывается Министерством Экономического развития РФ на основе данных </w:t>
      </w:r>
      <w:r>
        <w:rPr>
          <w:rFonts w:eastAsia="Calibri"/>
          <w:b/>
          <w:sz w:val="28"/>
          <w:szCs w:val="28"/>
        </w:rPr>
        <w:t>Росстата</w:t>
      </w:r>
      <w:r>
        <w:rPr>
          <w:rFonts w:eastAsia="Calibri"/>
          <w:sz w:val="28"/>
          <w:szCs w:val="28"/>
        </w:rPr>
        <w:t xml:space="preserve"> по показателю </w:t>
      </w:r>
      <w:r>
        <w:rPr>
          <w:rFonts w:eastAsia="Calibri"/>
          <w:b/>
          <w:sz w:val="28"/>
          <w:szCs w:val="28"/>
        </w:rPr>
        <w:t xml:space="preserve">«Объем инвестиций в основной капитал, за исключением   бюджетных ассигнований федерального бюджета» </w:t>
      </w:r>
      <w:r>
        <w:rPr>
          <w:rFonts w:eastAsia="Calibri"/>
          <w:sz w:val="28"/>
          <w:szCs w:val="28"/>
        </w:rPr>
        <w:t>и информации</w:t>
      </w:r>
      <w:r>
        <w:rPr>
          <w:rFonts w:eastAsia="Calibri"/>
          <w:b/>
          <w:sz w:val="28"/>
          <w:szCs w:val="28"/>
        </w:rPr>
        <w:t xml:space="preserve"> об инвестициях инфраструктурных монополий (федеральные проекты)</w:t>
      </w:r>
      <w:r>
        <w:rPr>
          <w:rFonts w:eastAsia="Calibri"/>
          <w:sz w:val="28"/>
          <w:szCs w:val="28"/>
        </w:rPr>
        <w:t>,  которые предоставляются исполнительными органами государственной власти субъектов РФ в Министерство экономического развития РФ.</w:t>
      </w:r>
    </w:p>
    <w:p w14:paraId="4996A2B0" w14:textId="77777777" w:rsidR="00D61B4D" w:rsidRDefault="00BF3055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формировании годовых итогов по инвестициям в основной капитал выделяют 3 оценки данного показателя:</w:t>
      </w:r>
    </w:p>
    <w:p w14:paraId="32EC041E" w14:textId="77777777" w:rsidR="00D61B4D" w:rsidRDefault="00BF3055">
      <w:pPr>
        <w:pStyle w:val="aff3"/>
        <w:numPr>
          <w:ilvl w:val="0"/>
          <w:numId w:val="1"/>
        </w:numPr>
        <w:spacing w:line="288" w:lineRule="auto"/>
        <w:ind w:left="426" w:firstLine="0"/>
        <w:jc w:val="both"/>
        <w:rPr>
          <w:rFonts w:ascii="Constantia" w:hAnsi="Constantia"/>
          <w:i/>
        </w:rPr>
      </w:pPr>
      <w:r>
        <w:rPr>
          <w:rFonts w:eastAsia="Calibri"/>
          <w:b/>
          <w:sz w:val="28"/>
          <w:szCs w:val="28"/>
        </w:rPr>
        <w:t>первая оценка</w:t>
      </w:r>
      <w:r>
        <w:rPr>
          <w:rFonts w:eastAsia="Calibri"/>
          <w:sz w:val="28"/>
          <w:szCs w:val="28"/>
        </w:rPr>
        <w:t xml:space="preserve"> годовых итогов по инвестициям в основной капитал производится на основании данных текущей отчетности по ф. № П-2 (квартальная) за январь-декабрь;</w:t>
      </w:r>
    </w:p>
    <w:p w14:paraId="2366C5FF" w14:textId="77777777" w:rsidR="00D61B4D" w:rsidRDefault="00BF3055">
      <w:pPr>
        <w:pStyle w:val="aff3"/>
        <w:numPr>
          <w:ilvl w:val="0"/>
          <w:numId w:val="1"/>
        </w:numPr>
        <w:spacing w:line="288" w:lineRule="auto"/>
        <w:ind w:left="426" w:firstLine="0"/>
        <w:jc w:val="both"/>
        <w:rPr>
          <w:rFonts w:ascii="Constantia" w:hAnsi="Constantia"/>
          <w:i/>
        </w:rPr>
      </w:pPr>
      <w:r>
        <w:rPr>
          <w:rFonts w:eastAsia="Calibri"/>
          <w:b/>
          <w:sz w:val="28"/>
          <w:szCs w:val="28"/>
        </w:rPr>
        <w:t>вторая оценка</w:t>
      </w:r>
      <w:r>
        <w:rPr>
          <w:rFonts w:eastAsia="Calibri"/>
          <w:sz w:val="28"/>
          <w:szCs w:val="28"/>
        </w:rPr>
        <w:t xml:space="preserve"> осуществляется на основании годовой отчетности по ф. № П-2 (</w:t>
      </w:r>
      <w:proofErr w:type="spellStart"/>
      <w:r>
        <w:rPr>
          <w:rFonts w:eastAsia="Calibri"/>
          <w:sz w:val="28"/>
          <w:szCs w:val="28"/>
        </w:rPr>
        <w:t>инвест</w:t>
      </w:r>
      <w:proofErr w:type="spellEnd"/>
      <w:r>
        <w:rPr>
          <w:rFonts w:eastAsia="Calibri"/>
          <w:sz w:val="28"/>
          <w:szCs w:val="28"/>
        </w:rPr>
        <w:t>), данные уточняются только по крупным и средним организациям;</w:t>
      </w:r>
    </w:p>
    <w:p w14:paraId="38C68BF9" w14:textId="77777777" w:rsidR="00D61B4D" w:rsidRDefault="00BF3055">
      <w:pPr>
        <w:pStyle w:val="aff3"/>
        <w:numPr>
          <w:ilvl w:val="0"/>
          <w:numId w:val="1"/>
        </w:numPr>
        <w:spacing w:line="288" w:lineRule="auto"/>
        <w:ind w:left="426" w:firstLine="0"/>
        <w:jc w:val="both"/>
        <w:rPr>
          <w:rFonts w:ascii="Constantia" w:hAnsi="Constantia"/>
          <w:i/>
        </w:rPr>
      </w:pPr>
      <w:r>
        <w:rPr>
          <w:rFonts w:eastAsia="Calibri"/>
          <w:b/>
          <w:sz w:val="28"/>
          <w:szCs w:val="28"/>
        </w:rPr>
        <w:t>третья оценка</w:t>
      </w:r>
      <w:r>
        <w:rPr>
          <w:rFonts w:eastAsia="Calibri"/>
          <w:sz w:val="28"/>
          <w:szCs w:val="28"/>
        </w:rPr>
        <w:t xml:space="preserve"> производится на основании годовых отчетов по полному кругу всех типов организаций, составленных по данным годовой отчетности и экономических расчетов (таблица 1-инвестиции).</w:t>
      </w:r>
    </w:p>
    <w:p w14:paraId="33F49C1C" w14:textId="77777777" w:rsidR="00D61B4D" w:rsidRDefault="00BF3055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Публикация окончательных итогов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феврале года, следующего за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после получения утвержденных итогов из Росстата.</w:t>
      </w:r>
    </w:p>
    <w:p w14:paraId="4A15B10B" w14:textId="77777777" w:rsidR="00D61B4D" w:rsidRDefault="00D61B4D">
      <w:pPr>
        <w:spacing w:line="288" w:lineRule="auto"/>
        <w:rPr>
          <w:color w:val="000000" w:themeColor="text1"/>
        </w:rPr>
      </w:pPr>
    </w:p>
    <w:p w14:paraId="3D35C8CA" w14:textId="77777777" w:rsidR="00D61B4D" w:rsidRDefault="00D61B4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61B4D">
      <w:pgSz w:w="11906" w:h="16838"/>
      <w:pgMar w:top="851" w:right="851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JournalRub"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D4F28"/>
    <w:multiLevelType w:val="multilevel"/>
    <w:tmpl w:val="0F0453F6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70A830CE"/>
    <w:multiLevelType w:val="multilevel"/>
    <w:tmpl w:val="1FE041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4D"/>
    <w:rsid w:val="00095013"/>
    <w:rsid w:val="004251F6"/>
    <w:rsid w:val="008C4C68"/>
    <w:rsid w:val="00BF3055"/>
    <w:rsid w:val="00C34A7A"/>
    <w:rsid w:val="00D6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8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8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23BCE"/>
    <w:pPr>
      <w:keepNext/>
      <w:widowControl w:val="0"/>
      <w:spacing w:before="120"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523B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23B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23B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23B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523BCE"/>
    <w:pPr>
      <w:keepNext/>
      <w:widowControl w:val="0"/>
      <w:spacing w:before="120" w:after="0" w:line="240" w:lineRule="auto"/>
      <w:ind w:firstLine="709"/>
      <w:jc w:val="right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523BCE"/>
    <w:pPr>
      <w:keepNext/>
      <w:widowControl w:val="0"/>
      <w:spacing w:before="120" w:after="0" w:line="240" w:lineRule="auto"/>
      <w:ind w:firstLine="720"/>
      <w:jc w:val="right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nhideWhenUsed/>
    <w:qFormat/>
    <w:rsid w:val="00523B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523BCE"/>
    <w:pPr>
      <w:keepNext/>
      <w:spacing w:after="0" w:line="240" w:lineRule="auto"/>
      <w:ind w:left="284"/>
      <w:jc w:val="both"/>
      <w:outlineLvl w:val="8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23B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523B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23B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523B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qFormat/>
    <w:rsid w:val="00523B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523B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523B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23B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523B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3">
    <w:name w:val="Текст сноски Знак"/>
    <w:basedOn w:val="a0"/>
    <w:link w:val="a4"/>
    <w:qFormat/>
    <w:rsid w:val="00523B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азвание Знак"/>
    <w:basedOn w:val="a0"/>
    <w:link w:val="a6"/>
    <w:qFormat/>
    <w:rsid w:val="00523BCE"/>
    <w:rPr>
      <w:rFonts w:ascii="Arial" w:eastAsia="Times New Roman" w:hAnsi="Arial" w:cs="Times New Roman"/>
      <w:b/>
      <w:caps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2"/>
    <w:semiHidden/>
    <w:qFormat/>
    <w:rsid w:val="00523B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qFormat/>
    <w:rsid w:val="00523B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8"/>
    <w:semiHidden/>
    <w:qFormat/>
    <w:rsid w:val="00523B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523BCE"/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523B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омер страницы"/>
    <w:basedOn w:val="a0"/>
    <w:qFormat/>
    <w:rsid w:val="00523BCE"/>
  </w:style>
  <w:style w:type="character" w:customStyle="1" w:styleId="31">
    <w:name w:val="Основной текст с отступом 3 Знак"/>
    <w:basedOn w:val="a0"/>
    <w:link w:val="32"/>
    <w:semiHidden/>
    <w:qFormat/>
    <w:rsid w:val="00523B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3 Знак"/>
    <w:basedOn w:val="a0"/>
    <w:link w:val="34"/>
    <w:semiHidden/>
    <w:qFormat/>
    <w:rsid w:val="00523B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Символ сноски"/>
    <w:qFormat/>
    <w:rsid w:val="00523BCE"/>
    <w:rPr>
      <w:vertAlign w:val="superscript"/>
    </w:rPr>
  </w:style>
  <w:style w:type="character" w:styleId="af">
    <w:name w:val="footnote reference"/>
    <w:rPr>
      <w:vertAlign w:val="superscript"/>
    </w:rPr>
  </w:style>
  <w:style w:type="character" w:customStyle="1" w:styleId="af0">
    <w:name w:val="Основной текст с отступом Знак"/>
    <w:basedOn w:val="a0"/>
    <w:link w:val="af1"/>
    <w:semiHidden/>
    <w:qFormat/>
    <w:rsid w:val="00523B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2">
    <w:name w:val="Таблица текст Знак"/>
    <w:link w:val="af3"/>
    <w:qFormat/>
    <w:rsid w:val="0085658B"/>
    <w:rPr>
      <w:rFonts w:ascii="Arial" w:eastAsia="Times New Roman" w:hAnsi="Arial" w:cs="Times New Roman"/>
      <w:szCs w:val="20"/>
      <w:lang w:eastAsia="ru-RU"/>
    </w:rPr>
  </w:style>
  <w:style w:type="character" w:styleId="af4">
    <w:name w:val="Hyperlink"/>
    <w:semiHidden/>
    <w:rsid w:val="00523BCE"/>
    <w:rPr>
      <w:color w:val="0000FF"/>
      <w:u w:val="single"/>
    </w:rPr>
  </w:style>
  <w:style w:type="character" w:customStyle="1" w:styleId="af5">
    <w:name w:val="Текст выноски Знак"/>
    <w:basedOn w:val="a0"/>
    <w:link w:val="af6"/>
    <w:uiPriority w:val="99"/>
    <w:semiHidden/>
    <w:qFormat/>
    <w:rsid w:val="00523BCE"/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Без интервала Знак"/>
    <w:link w:val="af8"/>
    <w:uiPriority w:val="1"/>
    <w:qFormat/>
    <w:rsid w:val="00523BCE"/>
    <w:rPr>
      <w:rFonts w:ascii="Calibri" w:eastAsia="Times New Roman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523B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txt2">
    <w:name w:val="sp_txt2"/>
    <w:basedOn w:val="a0"/>
    <w:qFormat/>
    <w:rsid w:val="00523BCE"/>
    <w:rPr>
      <w:color w:val="FFFFFF"/>
      <w:sz w:val="38"/>
      <w:szCs w:val="38"/>
    </w:rPr>
  </w:style>
  <w:style w:type="character" w:customStyle="1" w:styleId="link">
    <w:name w:val="link"/>
    <w:basedOn w:val="a0"/>
    <w:qFormat/>
    <w:rsid w:val="00523BCE"/>
    <w:rPr>
      <w:strike w:val="0"/>
      <w:dstrike w:val="0"/>
      <w:u w:val="none"/>
      <w:effect w:val="none"/>
    </w:rPr>
  </w:style>
  <w:style w:type="character" w:customStyle="1" w:styleId="FontStyle11">
    <w:name w:val="Font Style11"/>
    <w:uiPriority w:val="99"/>
    <w:qFormat/>
    <w:rsid w:val="001D628C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Title"/>
    <w:basedOn w:val="a"/>
    <w:next w:val="a8"/>
    <w:link w:val="a5"/>
    <w:qFormat/>
    <w:rsid w:val="00523BCE"/>
    <w:pPr>
      <w:widowControl w:val="0"/>
      <w:spacing w:before="120" w:after="0" w:line="300" w:lineRule="exact"/>
      <w:ind w:left="283" w:hanging="283"/>
      <w:jc w:val="center"/>
    </w:pPr>
    <w:rPr>
      <w:rFonts w:ascii="Arial" w:eastAsia="Times New Roman" w:hAnsi="Arial" w:cs="Times New Roman"/>
      <w:b/>
      <w:caps/>
      <w:sz w:val="28"/>
      <w:szCs w:val="20"/>
    </w:rPr>
  </w:style>
  <w:style w:type="paragraph" w:styleId="a8">
    <w:name w:val="Body Text"/>
    <w:basedOn w:val="a"/>
    <w:link w:val="a7"/>
    <w:semiHidden/>
    <w:rsid w:val="00523BCE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9">
    <w:name w:val="List"/>
    <w:basedOn w:val="a8"/>
    <w:rPr>
      <w:rFonts w:ascii="PT Astra Serif" w:hAnsi="PT Astra Serif" w:cs="Noto Sans Devanagari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523BCE"/>
    <w:rPr>
      <w:rFonts w:ascii="Arial" w:hAnsi="Arial" w:cs="Arial"/>
      <w:color w:val="000000"/>
      <w:sz w:val="24"/>
      <w:szCs w:val="24"/>
    </w:rPr>
  </w:style>
  <w:style w:type="paragraph" w:customStyle="1" w:styleId="61">
    <w:name w:val="заголовок 6"/>
    <w:basedOn w:val="a"/>
    <w:next w:val="a"/>
    <w:qFormat/>
    <w:rsid w:val="00523BCE"/>
    <w:pPr>
      <w:keepNext/>
      <w:widowControl w:val="0"/>
      <w:spacing w:before="120"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">
    <w:name w:val="заголовок 7"/>
    <w:basedOn w:val="a"/>
    <w:next w:val="a"/>
    <w:qFormat/>
    <w:rsid w:val="00523BCE"/>
    <w:pPr>
      <w:keepNext/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footnote text"/>
    <w:basedOn w:val="a"/>
    <w:link w:val="a3"/>
    <w:rsid w:val="00523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"/>
    <w:basedOn w:val="a"/>
    <w:next w:val="a"/>
    <w:qFormat/>
    <w:rsid w:val="00523BCE"/>
    <w:pPr>
      <w:keepNext/>
      <w:widowControl w:val="0"/>
      <w:spacing w:before="160" w:after="0" w:line="200" w:lineRule="exact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5">
    <w:name w:val="заголовок 2"/>
    <w:basedOn w:val="a"/>
    <w:next w:val="a"/>
    <w:qFormat/>
    <w:rsid w:val="00523BCE"/>
    <w:pPr>
      <w:keepNext/>
      <w:widowControl w:val="0"/>
      <w:spacing w:before="80" w:after="0" w:line="200" w:lineRule="exact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35">
    <w:name w:val="заголовок 3"/>
    <w:basedOn w:val="a"/>
    <w:next w:val="a"/>
    <w:qFormat/>
    <w:rsid w:val="00523BCE"/>
    <w:pPr>
      <w:keepNext/>
      <w:widowControl w:val="0"/>
      <w:spacing w:before="80" w:after="0" w:line="200" w:lineRule="exac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">
    <w:name w:val="заголовок 4"/>
    <w:basedOn w:val="a"/>
    <w:next w:val="a"/>
    <w:qFormat/>
    <w:rsid w:val="00523BCE"/>
    <w:pPr>
      <w:keepNext/>
      <w:widowControl w:val="0"/>
      <w:spacing w:before="360" w:after="0" w:line="200" w:lineRule="exact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51">
    <w:name w:val="заголовок 5"/>
    <w:basedOn w:val="a"/>
    <w:next w:val="a"/>
    <w:qFormat/>
    <w:rsid w:val="00523BCE"/>
    <w:pPr>
      <w:keepNext/>
      <w:widowControl w:val="0"/>
      <w:spacing w:before="120" w:after="0" w:line="200" w:lineRule="exac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81">
    <w:name w:val="заголовок 8"/>
    <w:basedOn w:val="a"/>
    <w:next w:val="a"/>
    <w:qFormat/>
    <w:rsid w:val="00523BC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">
    <w:name w:val="заголовок 9"/>
    <w:basedOn w:val="a"/>
    <w:next w:val="a"/>
    <w:qFormat/>
    <w:rsid w:val="00523BCE"/>
    <w:pPr>
      <w:keepNext/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semiHidden/>
    <w:qFormat/>
    <w:rsid w:val="00523BCE"/>
    <w:pPr>
      <w:widowControl w:val="0"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4">
    <w:name w:val="Body Text Indent 2"/>
    <w:basedOn w:val="a"/>
    <w:link w:val="23"/>
    <w:semiHidden/>
    <w:qFormat/>
    <w:rsid w:val="00523B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c">
    <w:name w:val="Колонтитул"/>
    <w:basedOn w:val="a"/>
    <w:qFormat/>
  </w:style>
  <w:style w:type="paragraph" w:styleId="aa">
    <w:name w:val="footer"/>
    <w:basedOn w:val="a"/>
    <w:link w:val="a9"/>
    <w:uiPriority w:val="99"/>
    <w:rsid w:val="00523BCE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header"/>
    <w:basedOn w:val="a"/>
    <w:link w:val="ab"/>
    <w:uiPriority w:val="99"/>
    <w:rsid w:val="00523B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0">
    <w:name w:val="заголовок 31"/>
    <w:basedOn w:val="a"/>
    <w:next w:val="a"/>
    <w:qFormat/>
    <w:rsid w:val="00523BCE"/>
    <w:pPr>
      <w:keepNext/>
      <w:widowControl w:val="0"/>
      <w:spacing w:after="0" w:line="200" w:lineRule="exact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20">
    <w:name w:val="Основной текст 22"/>
    <w:basedOn w:val="a"/>
    <w:qFormat/>
    <w:rsid w:val="00523BC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d">
    <w:name w:val="текст сноски"/>
    <w:basedOn w:val="a"/>
    <w:qFormat/>
    <w:rsid w:val="00523BC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32">
    <w:name w:val="Body Text Indent 3"/>
    <w:basedOn w:val="a"/>
    <w:link w:val="31"/>
    <w:semiHidden/>
    <w:qFormat/>
    <w:rsid w:val="00523BC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текст сноски1"/>
    <w:basedOn w:val="a"/>
    <w:qFormat/>
    <w:rsid w:val="00523BC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цифры1"/>
    <w:basedOn w:val="a"/>
    <w:qFormat/>
    <w:rsid w:val="00523BCE"/>
    <w:pPr>
      <w:widowControl w:val="0"/>
      <w:spacing w:before="76" w:after="0" w:line="240" w:lineRule="auto"/>
      <w:ind w:right="113"/>
      <w:jc w:val="right"/>
    </w:pPr>
    <w:rPr>
      <w:rFonts w:ascii="JournalRub" w:eastAsia="Times New Roman" w:hAnsi="JournalRub" w:cs="Times New Roman"/>
      <w:sz w:val="16"/>
      <w:szCs w:val="20"/>
    </w:rPr>
  </w:style>
  <w:style w:type="paragraph" w:customStyle="1" w:styleId="14">
    <w:name w:val="Верхний колонтитул1"/>
    <w:basedOn w:val="a"/>
    <w:qFormat/>
    <w:rsid w:val="00523BCE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">
    <w:name w:val="заголовок 11"/>
    <w:basedOn w:val="a"/>
    <w:next w:val="a"/>
    <w:qFormat/>
    <w:rsid w:val="00523BCE"/>
    <w:pPr>
      <w:keepNext/>
      <w:widowControl w:val="0"/>
      <w:spacing w:before="120" w:after="0" w:line="200" w:lineRule="exact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10">
    <w:name w:val="Основной текст 21"/>
    <w:basedOn w:val="a"/>
    <w:qFormat/>
    <w:rsid w:val="00523BCE"/>
    <w:pPr>
      <w:widowControl w:val="0"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0">
    <w:name w:val="заголовок 41"/>
    <w:basedOn w:val="a"/>
    <w:next w:val="a"/>
    <w:qFormat/>
    <w:rsid w:val="00523BCE"/>
    <w:pPr>
      <w:keepNext/>
      <w:widowControl w:val="0"/>
      <w:spacing w:after="0" w:line="200" w:lineRule="exact"/>
      <w:ind w:right="-5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4">
    <w:name w:val="Body Text 3"/>
    <w:basedOn w:val="a"/>
    <w:link w:val="33"/>
    <w:semiHidden/>
    <w:qFormat/>
    <w:rsid w:val="00523BC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Body Text Indent"/>
    <w:basedOn w:val="a"/>
    <w:link w:val="af0"/>
    <w:semiHidden/>
    <w:rsid w:val="00523BCE"/>
    <w:pPr>
      <w:widowControl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e">
    <w:name w:val="Таблица шапка"/>
    <w:basedOn w:val="af3"/>
    <w:qFormat/>
    <w:rsid w:val="00523BCE"/>
    <w:pPr>
      <w:keepNext/>
      <w:keepLines/>
      <w:tabs>
        <w:tab w:val="clear" w:pos="227"/>
        <w:tab w:val="clear" w:pos="454"/>
        <w:tab w:val="clear" w:pos="680"/>
        <w:tab w:val="left" w:pos="113"/>
        <w:tab w:val="left" w:pos="340"/>
      </w:tabs>
      <w:ind w:left="0" w:right="0"/>
      <w:jc w:val="center"/>
    </w:pPr>
  </w:style>
  <w:style w:type="paragraph" w:customStyle="1" w:styleId="af3">
    <w:name w:val="Таблица текст"/>
    <w:basedOn w:val="a"/>
    <w:link w:val="af2"/>
    <w:qFormat/>
    <w:rsid w:val="00523BCE"/>
    <w:pPr>
      <w:widowControl w:val="0"/>
      <w:tabs>
        <w:tab w:val="left" w:pos="227"/>
        <w:tab w:val="left" w:pos="454"/>
        <w:tab w:val="left" w:pos="680"/>
      </w:tabs>
      <w:spacing w:before="40" w:after="40" w:line="240" w:lineRule="auto"/>
      <w:ind w:left="57" w:right="57"/>
    </w:pPr>
    <w:rPr>
      <w:rFonts w:ascii="Arial" w:eastAsia="Times New Roman" w:hAnsi="Arial" w:cs="Times New Roman"/>
      <w:szCs w:val="20"/>
    </w:rPr>
  </w:style>
  <w:style w:type="paragraph" w:customStyle="1" w:styleId="aff">
    <w:name w:val="Таблица цифры"/>
    <w:basedOn w:val="af3"/>
    <w:qFormat/>
    <w:rsid w:val="00523BCE"/>
    <w:pPr>
      <w:tabs>
        <w:tab w:val="left" w:pos="113"/>
        <w:tab w:val="left" w:pos="340"/>
      </w:tabs>
      <w:ind w:left="0" w:right="0"/>
      <w:jc w:val="right"/>
    </w:pPr>
  </w:style>
  <w:style w:type="paragraph" w:customStyle="1" w:styleId="caption1">
    <w:name w:val="caption1"/>
    <w:basedOn w:val="a"/>
    <w:next w:val="a"/>
    <w:qFormat/>
    <w:rsid w:val="00523B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0">
    <w:name w:val="Основной текст с красной"/>
    <w:basedOn w:val="a8"/>
    <w:qFormat/>
    <w:rsid w:val="00523BCE"/>
    <w:pPr>
      <w:widowControl/>
      <w:spacing w:before="60" w:after="20"/>
      <w:ind w:firstLine="454"/>
    </w:pPr>
  </w:style>
  <w:style w:type="paragraph" w:styleId="aff1">
    <w:name w:val="Normal (Web)"/>
    <w:basedOn w:val="a"/>
    <w:uiPriority w:val="99"/>
    <w:unhideWhenUsed/>
    <w:qFormat/>
    <w:rsid w:val="00523B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alloon Text"/>
    <w:basedOn w:val="a"/>
    <w:link w:val="af5"/>
    <w:uiPriority w:val="99"/>
    <w:semiHidden/>
    <w:unhideWhenUsed/>
    <w:qFormat/>
    <w:rsid w:val="00523BC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qFormat/>
    <w:rsid w:val="00523BCE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8">
    <w:name w:val="No Spacing"/>
    <w:link w:val="af7"/>
    <w:uiPriority w:val="1"/>
    <w:qFormat/>
    <w:rsid w:val="00523BCE"/>
    <w:rPr>
      <w:rFonts w:eastAsia="Times New Roman" w:cs="Times New Roman"/>
    </w:rPr>
  </w:style>
  <w:style w:type="paragraph" w:styleId="aff2">
    <w:name w:val="Block Text"/>
    <w:basedOn w:val="a"/>
    <w:qFormat/>
    <w:rsid w:val="00523BCE"/>
    <w:pPr>
      <w:spacing w:after="0" w:line="240" w:lineRule="auto"/>
      <w:ind w:left="85" w:right="57" w:hanging="57"/>
    </w:pPr>
    <w:rPr>
      <w:rFonts w:ascii="Times New Roman" w:eastAsia="SimSun" w:hAnsi="Times New Roman" w:cs="Times New Roman"/>
      <w:sz w:val="16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523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3">
    <w:name w:val="List Paragraph"/>
    <w:basedOn w:val="a"/>
    <w:uiPriority w:val="34"/>
    <w:qFormat/>
    <w:rsid w:val="00523B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">
    <w:name w:val="заголовок5.7"/>
    <w:basedOn w:val="a"/>
    <w:next w:val="a"/>
    <w:qFormat/>
    <w:rsid w:val="0085658B"/>
    <w:pPr>
      <w:keepNext/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aff4">
    <w:name w:val="Стиль"/>
    <w:uiPriority w:val="99"/>
    <w:qFormat/>
    <w:rsid w:val="0085658B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table" w:styleId="aff5">
    <w:name w:val="Table Grid"/>
    <w:basedOn w:val="a1"/>
    <w:uiPriority w:val="59"/>
    <w:rsid w:val="00523B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BBA18719496C21DE8E91F1AEF984493848E3944C79BBBADC58D31DF4FDE0105513879A89EF5C57A407E534167C4141D9B3E5BAB15B62C3T2x8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6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Ирина Юрьевна</dc:creator>
  <dc:description/>
  <cp:lastModifiedBy>Office</cp:lastModifiedBy>
  <cp:revision>77</cp:revision>
  <cp:lastPrinted>2022-06-14T11:28:00Z</cp:lastPrinted>
  <dcterms:created xsi:type="dcterms:W3CDTF">2022-06-06T12:29:00Z</dcterms:created>
  <dcterms:modified xsi:type="dcterms:W3CDTF">2025-03-27T06:59:00Z</dcterms:modified>
  <dc:language>ru-RU</dc:language>
</cp:coreProperties>
</file>