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F7CF" w14:textId="65A1D46A" w:rsidR="00A13095" w:rsidRDefault="00727DC1" w:rsidP="00BD6B95">
      <w:pPr>
        <w:spacing w:after="48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Динамика и уровень цен на </w:t>
      </w:r>
      <w:r w:rsidR="008F242F">
        <w:rPr>
          <w:rFonts w:ascii="Times New Roman" w:hAnsi="Times New Roman" w:cs="Times New Roman"/>
          <w:b/>
          <w:color w:val="333333"/>
          <w:sz w:val="32"/>
          <w:szCs w:val="32"/>
        </w:rPr>
        <w:t>потребительск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ом</w:t>
      </w:r>
      <w:r w:rsidR="008F242F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рынке </w:t>
      </w:r>
      <w:r w:rsidR="008F242F">
        <w:rPr>
          <w:rFonts w:ascii="Times New Roman" w:hAnsi="Times New Roman" w:cs="Times New Roman"/>
          <w:b/>
          <w:color w:val="333333"/>
          <w:sz w:val="32"/>
          <w:szCs w:val="32"/>
        </w:rPr>
        <w:t>товар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ов</w:t>
      </w:r>
      <w:r w:rsidR="008F242F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br/>
      </w:r>
      <w:r w:rsidR="008F242F">
        <w:rPr>
          <w:rFonts w:ascii="Times New Roman" w:hAnsi="Times New Roman" w:cs="Times New Roman"/>
          <w:b/>
          <w:color w:val="333333"/>
          <w:sz w:val="32"/>
          <w:szCs w:val="32"/>
        </w:rPr>
        <w:t>и услу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г</w:t>
      </w:r>
      <w:r w:rsidR="008F242F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 w:rsidR="00595636">
        <w:rPr>
          <w:rFonts w:ascii="Times New Roman" w:hAnsi="Times New Roman" w:cs="Times New Roman"/>
          <w:b/>
          <w:color w:val="333333"/>
          <w:sz w:val="32"/>
          <w:szCs w:val="32"/>
        </w:rPr>
        <w:t>в 202</w:t>
      </w:r>
      <w:r w:rsidR="008F242F">
        <w:rPr>
          <w:rFonts w:ascii="Times New Roman" w:hAnsi="Times New Roman" w:cs="Times New Roman"/>
          <w:b/>
          <w:color w:val="333333"/>
          <w:sz w:val="32"/>
          <w:szCs w:val="32"/>
        </w:rPr>
        <w:t>4</w:t>
      </w:r>
      <w:r w:rsidR="00595636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году</w:t>
      </w:r>
    </w:p>
    <w:p w14:paraId="0554A648" w14:textId="77777777" w:rsidR="00615626" w:rsidRDefault="00615626" w:rsidP="00615626">
      <w:pPr>
        <w:pStyle w:val="a8"/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372">
        <w:rPr>
          <w:rFonts w:ascii="Times New Roman" w:hAnsi="Times New Roman" w:cs="Times New Roman"/>
          <w:color w:val="000000" w:themeColor="text1"/>
          <w:sz w:val="28"/>
          <w:szCs w:val="28"/>
        </w:rPr>
        <w:t>Данные об инфляционных процессах на потребительском рынке товаров и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вызывают повышенный интерес в обществе. </w:t>
      </w:r>
      <w:r w:rsidRPr="00245372">
        <w:rPr>
          <w:rFonts w:ascii="Times New Roman" w:hAnsi="Times New Roman" w:cs="Times New Roman"/>
          <w:sz w:val="28"/>
          <w:szCs w:val="28"/>
        </w:rPr>
        <w:t xml:space="preserve">Это одни из наиболее востребованных и обсуждаемых </w:t>
      </w:r>
      <w:r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245372">
        <w:rPr>
          <w:rFonts w:ascii="Times New Roman" w:hAnsi="Times New Roman" w:cs="Times New Roman"/>
          <w:sz w:val="28"/>
          <w:szCs w:val="28"/>
        </w:rPr>
        <w:t>цифр, публикуемых органами государственной статистики.</w:t>
      </w:r>
      <w:r>
        <w:rPr>
          <w:rFonts w:ascii="Times New Roman" w:hAnsi="Times New Roman" w:cs="Times New Roman"/>
          <w:sz w:val="28"/>
          <w:szCs w:val="28"/>
        </w:rPr>
        <w:t xml:space="preserve"> Вопросу снижения инфляционного давления на экономику и граждан уделяется самое пристальное внимание как на федеральном уровне, так и на уровне субъектов Российской Федерации и муниципалитетов.</w:t>
      </w:r>
    </w:p>
    <w:p w14:paraId="1B7BC2DE" w14:textId="77777777" w:rsidR="00615626" w:rsidRDefault="00615626" w:rsidP="00615626">
      <w:pPr>
        <w:spacing w:before="60" w:after="20" w:line="36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994FB0">
        <w:rPr>
          <w:rFonts w:ascii="Times New Roman" w:hAnsi="Times New Roman" w:cs="Times New Roman"/>
          <w:sz w:val="28"/>
          <w:szCs w:val="28"/>
        </w:rPr>
        <w:t xml:space="preserve">В 2024 году в Белгородской области наблюдение </w:t>
      </w:r>
      <w:r w:rsidRPr="00994FB0">
        <w:rPr>
          <w:rFonts w:ascii="Times New Roman" w:eastAsia="MS Mincho" w:hAnsi="Times New Roman" w:cs="Times New Roman"/>
          <w:sz w:val="28"/>
          <w:szCs w:val="28"/>
        </w:rPr>
        <w:t xml:space="preserve">за изменением потребительских цен на товары и услуги осуществлялось в городах Белгород, Губкин и Старый Оскол в 609 организациях </w:t>
      </w:r>
      <w:r>
        <w:rPr>
          <w:rFonts w:ascii="Times New Roman" w:eastAsia="MS Mincho" w:hAnsi="Times New Roman" w:cs="Times New Roman"/>
          <w:sz w:val="28"/>
          <w:szCs w:val="28"/>
        </w:rPr>
        <w:t>торговли и сферы услуг. Цены регистрировались на 553 товара (услуги)-представителя</w:t>
      </w:r>
      <w:r w:rsidRPr="004F18BE">
        <w:rPr>
          <w:rFonts w:ascii="Times New Roman" w:eastAsia="MS Mincho" w:hAnsi="Times New Roman" w:cs="Times New Roman"/>
          <w:sz w:val="28"/>
          <w:szCs w:val="28"/>
        </w:rPr>
        <w:t xml:space="preserve">, в том числе на 132 продовольственных товара, на 294 непродовольственных товара, на 127 наименований услуг. </w:t>
      </w:r>
      <w:r w:rsidRPr="00EF79DA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Число регистрируемых ценовых котировок в рамках ежемесячного наблюдения составляло 6943, в том числе 2185 – на продовольственные товары, 3906 – на непродовольственные товары, 852 – на услуги.</w:t>
      </w:r>
    </w:p>
    <w:p w14:paraId="75EF86A7" w14:textId="77777777" w:rsidR="00615626" w:rsidRPr="00933091" w:rsidRDefault="00615626" w:rsidP="00615626">
      <w:pPr>
        <w:spacing w:before="60" w:after="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6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В 2024 году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(декабрь 2024 года по сравнению с декабрем 2023 года) </w:t>
      </w:r>
      <w:r w:rsidRPr="00DC76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индекс потребительских цен (ИПЦ), </w:t>
      </w:r>
      <w:r w:rsidRPr="00DC769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характеризующий изменение общего уровня цен и тарифов на товары и услуги, приобретаемых населением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Белгородской области, составил 109,1%, что выше, чем в 2023 году – 107,0%, ниже, чем в 2022 году – 112,8%, и соответствует уровню 2021 года. Наименьшее значение ИПЦ по Белгородской области зафиксировано в 2019 году – 102,8%. По Российской Федерации в целом индекс потребительских цен в 2024 году составил 109,5%, что на 0,4% выше, чем в Белгородской области (в 2023 году - также выше на 0,4%), в то время как в 2021 и 2022 году рост цен в нашей области опережал среднероссийский, соответственно на 0,7</w:t>
      </w:r>
      <w:r w:rsidRPr="006424A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642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0,9%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соседних с нашим регионом областях цены в 2024 году также росли более высокими темпами, чем у нас</w:t>
      </w:r>
      <w:r w:rsidRPr="009330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Тамбовской области – на 10,8%, Воронежской области – на 10,5%, Липецкой области – на 10,0%, Курской области – на 9,8%.</w:t>
      </w:r>
    </w:p>
    <w:p w14:paraId="010DA3DE" w14:textId="77777777" w:rsidR="00615626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Индекс потребительских цен в целом по Центральному федеральному округу в 2024 году составил 109,9%, что на 0,8% больше, чем в Белгородской области. Из областей ЦФО на том же уровне, что и в нашем регионе (109,1%) сложился ИПЦ в Тульской и Калужской областях, в остальных субъектах ЦФО – выше, чем у нас.</w:t>
      </w:r>
    </w:p>
    <w:p w14:paraId="03541E0B" w14:textId="77777777" w:rsidR="00615626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всех регионов Российской Федерации наибольший рост цен в 2024 году наблюдался в Республике Дагестан и Чувашской Республике – на 11,0%, наименьший – в Чукотском автономном округе (на 5,1%), Ненецком автономном округе (на 6,3%), Сахалинской области (на 7,2%), Хабаровском крае (на 7,4%). Из федеральных округов наименьшее повышение цен зафиксировано в Дальневосточном (в целом по округу - на 8,7%), больше всего выросли цены в Северо-Кавказском федеральном округе – на 10,2%.</w:t>
      </w:r>
    </w:p>
    <w:p w14:paraId="4D114DC9" w14:textId="77777777" w:rsidR="00615626" w:rsidRPr="007811C2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Анализируя помесячную динамику индекса потребительски цен по Белгородской области в 2024 году, следует отметить, что наибольший рост цен наблюдался в последние месяцы года</w:t>
      </w:r>
      <w:r w:rsidRPr="00587DE7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в декабре (на 1,6%) и ноябре (на 1,2%),</w:t>
      </w:r>
      <w:r w:rsidRPr="00587DE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также значительно увеличились цены в июле (на 1,0%), что вызвано, в основном, повышением на 7,7% в этом месяце тарифов на жилищные и коммунальные услуги. Причина высокой инфляции в конце года – максимальные значения месячного индекса потребительских цен на продовольственные товары. Так, в ноябре 2024 года продукты в целом подорожали на 2,1%, в декабре 2024 года – на 2,5</w:t>
      </w:r>
      <w:r w:rsidRPr="007811C2">
        <w:rPr>
          <w:color w:val="000000" w:themeColor="text1"/>
          <w:sz w:val="28"/>
          <w:szCs w:val="28"/>
        </w:rPr>
        <w:t xml:space="preserve">%. </w:t>
      </w:r>
    </w:p>
    <w:p w14:paraId="2BE1E96E" w14:textId="77777777" w:rsidR="00615626" w:rsidRPr="00492DD2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можно констатировать, что рост цен на продовольственные товары в 2024 году (в целом на 12,4%) явился основным фактором ускорения инфляционных процессов на потребительском рынке. Для сравнения – цены на непродовольственные товары увеличились за 2024 год на 6,3%, на услуги – на 8,8%. В 2023 году продовольственные товары дорожали также более высокими темпами, чем непродовольственные товары и услуги (соответственно на 8,8</w:t>
      </w:r>
      <w:r w:rsidRPr="00735F43">
        <w:rPr>
          <w:color w:val="000000" w:themeColor="text1"/>
          <w:sz w:val="28"/>
          <w:szCs w:val="28"/>
        </w:rPr>
        <w:t xml:space="preserve">%, 6,2% </w:t>
      </w:r>
      <w:r>
        <w:rPr>
          <w:color w:val="000000" w:themeColor="text1"/>
          <w:sz w:val="28"/>
          <w:szCs w:val="28"/>
        </w:rPr>
        <w:t xml:space="preserve">и 5,4%). </w:t>
      </w:r>
    </w:p>
    <w:p w14:paraId="14C4DE2E" w14:textId="77777777" w:rsidR="00615626" w:rsidRDefault="00615626" w:rsidP="00615626">
      <w:pPr>
        <w:spacing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из </w:t>
      </w:r>
      <w:r w:rsidRPr="005C0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продовольственных товаров</w:t>
      </w:r>
      <w:r w:rsidRPr="0064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рост цен зафиксирован на</w:t>
      </w:r>
      <w:r w:rsidRPr="0064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картофель: по сравнению с 2023 годом цены на него увеличились в </w:t>
      </w:r>
      <w:r w:rsidRPr="00640D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2,4 раза.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52FD4">
        <w:rPr>
          <w:rFonts w:ascii="Times New Roman" w:hAnsi="Times New Roman" w:cs="Times New Roman"/>
          <w:sz w:val="28"/>
          <w:szCs w:val="28"/>
        </w:rPr>
        <w:t>одорожа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852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картофеля произошло </w:t>
      </w:r>
      <w:r w:rsidRPr="00852FD4">
        <w:rPr>
          <w:rFonts w:ascii="Times New Roman" w:hAnsi="Times New Roman" w:cs="Times New Roman"/>
          <w:sz w:val="28"/>
          <w:szCs w:val="28"/>
        </w:rPr>
        <w:t xml:space="preserve">по двум основным причинам. Во-первых, снижение производства </w:t>
      </w:r>
      <w:r>
        <w:rPr>
          <w:rFonts w:ascii="Times New Roman" w:hAnsi="Times New Roman" w:cs="Times New Roman"/>
          <w:sz w:val="28"/>
          <w:szCs w:val="28"/>
        </w:rPr>
        <w:t>и урожайности в 2024 году по сравнению с 2023 годом</w:t>
      </w:r>
      <w:r w:rsidRPr="00852FD4">
        <w:rPr>
          <w:rFonts w:ascii="Times New Roman" w:hAnsi="Times New Roman" w:cs="Times New Roman"/>
          <w:sz w:val="28"/>
          <w:szCs w:val="28"/>
        </w:rPr>
        <w:t xml:space="preserve">. Соответственно, вырос импорт, причем годом ранее импорт </w:t>
      </w:r>
      <w:r>
        <w:rPr>
          <w:rFonts w:ascii="Times New Roman" w:hAnsi="Times New Roman" w:cs="Times New Roman"/>
          <w:sz w:val="28"/>
          <w:szCs w:val="28"/>
        </w:rPr>
        <w:t>картофеля практически</w:t>
      </w:r>
      <w:r w:rsidRPr="00852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отсутствовал</w:t>
      </w:r>
      <w:r w:rsidRPr="00852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FD4">
        <w:rPr>
          <w:rFonts w:ascii="Times New Roman" w:hAnsi="Times New Roman" w:cs="Times New Roman"/>
          <w:sz w:val="28"/>
          <w:szCs w:val="28"/>
        </w:rPr>
        <w:t>Во-вторых, на рост импорта наложилась девальвация рубля</w:t>
      </w:r>
      <w:r>
        <w:rPr>
          <w:rFonts w:ascii="Times New Roman" w:hAnsi="Times New Roman" w:cs="Times New Roman"/>
          <w:sz w:val="28"/>
          <w:szCs w:val="28"/>
        </w:rPr>
        <w:t>, и, соответственно, удорожание импортных товаров</w:t>
      </w:r>
      <w:r w:rsidRPr="00852FD4">
        <w:rPr>
          <w:rFonts w:ascii="Times New Roman" w:hAnsi="Times New Roman" w:cs="Times New Roman"/>
          <w:sz w:val="28"/>
          <w:szCs w:val="28"/>
        </w:rPr>
        <w:t xml:space="preserve"> в течение 2024 года. В свою очередь снижение производства было связано с некоторым сокращением посевных площадей и неблагоприятными погодными условиями. </w:t>
      </w:r>
    </w:p>
    <w:p w14:paraId="5F8C4D8C" w14:textId="77777777" w:rsidR="00615626" w:rsidRDefault="00615626" w:rsidP="00615626">
      <w:pPr>
        <w:spacing w:before="6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основном, теми же причинами объясняется резкий скачок цен в 2024 году практически на всю овощную продукцию. Так, капуста белокочанная свежая подорожала за год на 59,7%, лук репчатый – на 50,9%, чеснок – на 38,5%, свекла столовая – на 34,5%, помидоры свежие – на 27,9%, грибы свежие – на 25,7%, огурцы свежие – на 24,7%. Из наблюдаемых овощей наименьший рост цен зафиксирован на морковь – на 10,2% и зелень свежую – на 7,6%. В целом за 2024 год овощи подорожали на 27,2%.</w:t>
      </w:r>
    </w:p>
    <w:p w14:paraId="2487CE99" w14:textId="77777777" w:rsidR="00615626" w:rsidRDefault="00615626" w:rsidP="00615626">
      <w:pPr>
        <w:spacing w:before="6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Существенный рост цен в 2024 году также наблюдался на фрукты и цитрусовые - в целом на 18,1%, а в наибольшей степени выросли за прошедший год цены на яблоки – на 33,2%, груши – на 19,8% и апельсины – на 17,0%.</w:t>
      </w:r>
    </w:p>
    <w:p w14:paraId="090D9C27" w14:textId="77777777" w:rsidR="00615626" w:rsidRDefault="00615626" w:rsidP="00615626">
      <w:pPr>
        <w:spacing w:before="6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других продовольственных товаров (помимо плодоовощной продукции), самый значительный рост цен в 2024 году зарегистрирован на икру лососевых рыб – на 47,2%. Основными факторами подорожания икры назывались</w:t>
      </w:r>
      <w:r w:rsidRPr="000907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снижение по сравнению с 2023 годом </w:t>
      </w:r>
      <w:r w:rsidRPr="000907E7">
        <w:rPr>
          <w:rFonts w:ascii="Times New Roman" w:hAnsi="Times New Roman" w:cs="Times New Roman"/>
          <w:sz w:val="28"/>
          <w:szCs w:val="28"/>
        </w:rPr>
        <w:t>улов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07E7">
        <w:rPr>
          <w:rFonts w:ascii="Times New Roman" w:hAnsi="Times New Roman" w:cs="Times New Roman"/>
          <w:sz w:val="28"/>
          <w:szCs w:val="28"/>
        </w:rPr>
        <w:t>лосос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7E7">
        <w:rPr>
          <w:rFonts w:ascii="Times New Roman" w:hAnsi="Times New Roman" w:cs="Times New Roman"/>
          <w:sz w:val="28"/>
          <w:szCs w:val="28"/>
        </w:rPr>
        <w:t xml:space="preserve">вых </w:t>
      </w:r>
      <w:r>
        <w:rPr>
          <w:rFonts w:ascii="Times New Roman" w:hAnsi="Times New Roman" w:cs="Times New Roman"/>
          <w:sz w:val="28"/>
          <w:szCs w:val="28"/>
        </w:rPr>
        <w:t>рыб</w:t>
      </w:r>
      <w:r w:rsidRPr="000907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рост спроса, увеличение расходов на</w:t>
      </w:r>
      <w:r w:rsidRPr="000907E7">
        <w:rPr>
          <w:rFonts w:ascii="Times New Roman" w:hAnsi="Times New Roman" w:cs="Times New Roman"/>
          <w:sz w:val="28"/>
          <w:szCs w:val="28"/>
        </w:rPr>
        <w:t xml:space="preserve"> логистик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07E7">
        <w:rPr>
          <w:rFonts w:ascii="Times New Roman" w:hAnsi="Times New Roman" w:cs="Times New Roman"/>
          <w:sz w:val="28"/>
          <w:szCs w:val="28"/>
        </w:rPr>
        <w:t>, оборудование и персонал.</w:t>
      </w:r>
    </w:p>
    <w:p w14:paraId="6A2C2C1A" w14:textId="77777777" w:rsidR="00615626" w:rsidRPr="00F612B1" w:rsidRDefault="00615626" w:rsidP="00615626">
      <w:pPr>
        <w:tabs>
          <w:tab w:val="num" w:pos="720"/>
        </w:tabs>
        <w:spacing w:before="6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продовольственных товаров также одним из самых существенных в 2024 году было подорожание сливочного масла, цены на которое повысились за год на 35,5%. В числе основных причин</w:t>
      </w:r>
      <w:r w:rsidRPr="00DF4EB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увеличение издержек производителей</w:t>
      </w:r>
      <w:r w:rsidRPr="00F612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рост цен на молоко, </w:t>
      </w:r>
      <w:r w:rsidRPr="00DF4EB0">
        <w:rPr>
          <w:rFonts w:ascii="Times New Roman" w:hAnsi="Times New Roman" w:cs="Times New Roman"/>
          <w:sz w:val="28"/>
          <w:szCs w:val="28"/>
        </w:rPr>
        <w:t xml:space="preserve">рост </w:t>
      </w:r>
      <w:r>
        <w:rPr>
          <w:rFonts w:ascii="Times New Roman" w:hAnsi="Times New Roman" w:cs="Times New Roman"/>
          <w:sz w:val="28"/>
          <w:szCs w:val="28"/>
        </w:rPr>
        <w:t>себестоимости по другим статьям расходов)</w:t>
      </w:r>
      <w:r w:rsidRPr="00DF4E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удорожание логистики и хранения продукции</w:t>
      </w:r>
      <w:r w:rsidRPr="00F612B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повышенный спрос.</w:t>
      </w:r>
    </w:p>
    <w:p w14:paraId="3BA4DA88" w14:textId="77777777" w:rsidR="00615626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Цены на молоко питьевое на потребительском рынке в 2024 году выросли на 20,7%, высокие темпы роста цен наблюдались и на остальную молочную </w:t>
      </w:r>
      <w:r>
        <w:rPr>
          <w:color w:val="000000" w:themeColor="text1"/>
          <w:sz w:val="28"/>
          <w:szCs w:val="28"/>
        </w:rPr>
        <w:lastRenderedPageBreak/>
        <w:t>продукцию</w:t>
      </w:r>
      <w:r w:rsidRPr="008E1FB3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сыры подорожали на 19,0%, сметана – на 18,0%, сливки питьевые – на 17,5%, сырки творожные – на 17,0%, кисломолочные продукты – на 16,7%, творог - на 13,3%, смеси сухие молочные для детского питания – на 9,5%.</w:t>
      </w:r>
    </w:p>
    <w:p w14:paraId="3E605B43" w14:textId="77777777" w:rsidR="00615626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других продовольственных товаров наибольший рост цен в 2024 году наблюдался на маргарин – на 23,0%, рыбу соленую, маринованную, копченую </w:t>
      </w:r>
      <w:r w:rsidRPr="00D636E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на 21,1%, рыбу живую и охлажденную – на 20,6%, сельдь соленую – на 19,0%, хлеб и хлебобулочные изделия – на 17,3%, горох и фасоль – на 16,5%, говядину - на 16,2%, баранину – на 16,0%, колбасу вареную – на 14,8%, макаронные изделия – на 12,7%.</w:t>
      </w:r>
    </w:p>
    <w:p w14:paraId="1199FA9A" w14:textId="77777777" w:rsidR="00615626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продуктов питания снижение цен в 2024 году было зарегистрировано на крупу гречневую – на 18,3%, цены на которую снижались три года подряд (в 2022 году - на 16,9%, в 2023 году – на 19,8%), при этом в 2019-2021 годах цены на «гречку» только возрастали, существенно превосходя средний темп роста на потребительском рынке товаров и услуг, увеличившись в 2019 году на 45,7%, в 2020 году - на 61,9%, в 2021 году - на 29,3%.</w:t>
      </w:r>
    </w:p>
    <w:p w14:paraId="5B2F9094" w14:textId="77777777" w:rsidR="00615626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в 2024 году подешевели яйца куриные – на 12,7% (в 2023 году на них был зафиксирован существенный скачок цен на 58,7%), кальмары мороженые – на 6,7%, куры охлажденные и мороженые – на 1,1%. Незначительно снизились цены на чай черный байховый – на 0,6% и майонез – на 0,4%.</w:t>
      </w:r>
    </w:p>
    <w:p w14:paraId="4ACA652B" w14:textId="77777777" w:rsidR="00615626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07D6">
        <w:rPr>
          <w:b/>
          <w:bCs/>
          <w:color w:val="000000" w:themeColor="text1"/>
          <w:sz w:val="28"/>
          <w:szCs w:val="28"/>
        </w:rPr>
        <w:t>Непродовольственные товары</w:t>
      </w:r>
      <w:r>
        <w:rPr>
          <w:color w:val="000000" w:themeColor="text1"/>
          <w:sz w:val="28"/>
          <w:szCs w:val="28"/>
        </w:rPr>
        <w:t xml:space="preserve"> в целом за прошедший год подорожали на 6,3% (в 2023 году практически настолько же – на 6,2%). Наибольший рост цен из непродовольственных товаров зарегистрирован на ювелирные изделия – на 40,2% (основная причина - рост цен на золото) и пиломатериалы</w:t>
      </w:r>
      <w:r w:rsidRPr="005C07D6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плиты древесностружечные – на 36,5% и доски обрезные – на 29,5%. Следует отметить, что в 2025 году ювелирные изделия продолжили дорожать очень высокими темпами (за 2 месяца текущего года - уже на 10,2%). Из строительных материалов в 2024 году также существенно выросли цены на рубероид – на 14%, линолеум – на 9,1% и цемент – на 8,4%. </w:t>
      </w:r>
    </w:p>
    <w:p w14:paraId="5197EF92" w14:textId="77777777" w:rsidR="00615626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3034">
        <w:rPr>
          <w:color w:val="000000" w:themeColor="text1"/>
          <w:sz w:val="28"/>
          <w:szCs w:val="28"/>
        </w:rPr>
        <w:lastRenderedPageBreak/>
        <w:t xml:space="preserve">Также в 2024 году значительно подорожали следующие непродовольственные товары: свежесрезанные цветы – на 30,9%, </w:t>
      </w:r>
      <w:r w:rsidRPr="00513034">
        <w:rPr>
          <w:color w:val="000000"/>
          <w:sz w:val="28"/>
          <w:szCs w:val="28"/>
        </w:rPr>
        <w:t>школьные тетради – на 18,8%, к</w:t>
      </w:r>
      <w:r w:rsidRPr="009E4C11">
        <w:rPr>
          <w:color w:val="000000"/>
          <w:sz w:val="28"/>
          <w:szCs w:val="28"/>
        </w:rPr>
        <w:t>остюм</w:t>
      </w:r>
      <w:r w:rsidRPr="00513034">
        <w:rPr>
          <w:color w:val="000000"/>
          <w:sz w:val="28"/>
          <w:szCs w:val="28"/>
        </w:rPr>
        <w:t>ы</w:t>
      </w:r>
      <w:r w:rsidRPr="009E4C11">
        <w:rPr>
          <w:color w:val="000000"/>
          <w:sz w:val="28"/>
          <w:szCs w:val="28"/>
        </w:rPr>
        <w:t xml:space="preserve"> спортивны</w:t>
      </w:r>
      <w:r w:rsidRPr="00513034">
        <w:rPr>
          <w:color w:val="000000"/>
          <w:sz w:val="28"/>
          <w:szCs w:val="28"/>
        </w:rPr>
        <w:t>е</w:t>
      </w:r>
      <w:r w:rsidRPr="009E4C11">
        <w:rPr>
          <w:color w:val="000000"/>
          <w:sz w:val="28"/>
          <w:szCs w:val="28"/>
        </w:rPr>
        <w:t xml:space="preserve"> для взрослых</w:t>
      </w:r>
      <w:r w:rsidRPr="00513034">
        <w:rPr>
          <w:color w:val="000000"/>
          <w:sz w:val="28"/>
          <w:szCs w:val="28"/>
        </w:rPr>
        <w:t xml:space="preserve"> – на 17,7%, наборы фломастеров – на 16,1%,  бумажные столовые салфетки – на 15,9%, альбомы для рисования – на 15,1%, учебники, учебные пособия для общеобразовательной школы – на 15,0%, шариковые авторучки – на 14,4%, </w:t>
      </w:r>
      <w:r>
        <w:rPr>
          <w:color w:val="000000"/>
          <w:sz w:val="28"/>
          <w:szCs w:val="28"/>
        </w:rPr>
        <w:t>шины для легковых автомобилей – на 12,6%.</w:t>
      </w:r>
    </w:p>
    <w:p w14:paraId="4CCEA2C8" w14:textId="77777777" w:rsidR="00615626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Снижение цен в 2024 году зарегистрировано на следующие непродовольственные товары</w:t>
      </w:r>
      <w:r w:rsidRPr="0065312D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смартфоны – на 11,9%, компьютеры планшетные – на 10,9%, миксеры, блендеры – на 7,9%, меха и меховые изделия – на 3,4%, мониторы для настольных компьютеров – на 3,3%, ноутбуки – на 2,5%, электропылесосы – на 0,8%.</w:t>
      </w:r>
    </w:p>
    <w:p w14:paraId="2E47BE54" w14:textId="77777777" w:rsidR="00615626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Цены на медикаменты в целом в 2024 году выросли на 8,9% (в 2023 году - на 9,9%), на перевязочные материалы - на 7,9% (в 2023 году – на 19,8%), на медицинские товары – на 8,6% (в 2023 году – на 9,1%).</w:t>
      </w:r>
    </w:p>
    <w:p w14:paraId="115D7708" w14:textId="77777777" w:rsidR="00615626" w:rsidRDefault="00615626" w:rsidP="00615626">
      <w:pPr>
        <w:pStyle w:val="a3"/>
        <w:spacing w:before="60" w:beforeAutospacing="0" w:after="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Цены на моторное топливо в целом увеличились в 2024 году на 11,2% (в 2023 году - на 7,5%). Из видов моторного топлива в прошлом году более высокими темпами дорожал автомобильный бензин</w:t>
      </w:r>
      <w:r w:rsidRPr="0001177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марки АИ-98 – на 20,9%, АИ-95 – на 9,4%, АИ-92 – на 9,0%. Цены на дизельное топливо увеличились на 7,9%, газовое моторное топливо – на 3,4%. В 2023 году в этой группе непродовольственных товаров наибольший рост цен зафиксирован на газовое моторное топливо – на 44,1%, автомобильный бензин</w:t>
      </w:r>
      <w:r w:rsidRPr="000117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марки АИ-98 – на 13,5% и дизельное топливо – на 10,0%.</w:t>
      </w:r>
    </w:p>
    <w:p w14:paraId="49AC3191" w14:textId="77777777" w:rsidR="00615626" w:rsidRDefault="00615626" w:rsidP="00615626">
      <w:pPr>
        <w:pStyle w:val="a3"/>
        <w:tabs>
          <w:tab w:val="left" w:pos="7650"/>
        </w:tabs>
        <w:spacing w:before="60" w:beforeAutospacing="0" w:after="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Тарифы на </w:t>
      </w:r>
      <w:r w:rsidRPr="006E3094">
        <w:rPr>
          <w:b/>
          <w:bCs/>
          <w:color w:val="000000" w:themeColor="text1"/>
          <w:sz w:val="28"/>
          <w:szCs w:val="28"/>
        </w:rPr>
        <w:t>услуги</w:t>
      </w:r>
      <w:r>
        <w:rPr>
          <w:color w:val="000000" w:themeColor="text1"/>
          <w:sz w:val="28"/>
          <w:szCs w:val="28"/>
        </w:rPr>
        <w:t xml:space="preserve"> в целом в 2024 году выросли на 8,8%, что на 3,4 процентного пункта больше, чем в 2023 году, что во многом обусловлено увеличением в прошлом году стоимости коммунальных услуг (на 10,2%), в то время как в 2023 году тарифы на коммунальные услуги не менялись. На коммунальные услуги тарифы в 2024 году изменились следующим образом</w:t>
      </w:r>
      <w:r w:rsidRPr="001E4F84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стоимость водоотведения выросла на 14,4%, водоснабжения холодного – на 13,7%, горячего водоснабжения – на 11,8%, отопления – на 11,3%, газоснабжения – на 9,8%, </w:t>
      </w:r>
      <w:r>
        <w:rPr>
          <w:color w:val="000000" w:themeColor="text1"/>
          <w:sz w:val="28"/>
          <w:szCs w:val="28"/>
        </w:rPr>
        <w:lastRenderedPageBreak/>
        <w:t xml:space="preserve">электроэнергии – на 8,8%. Стоимость обращения с твердыми коммунальными отходами в прошлом году не менялась. Тарифы на жилищные услуги (включая аренду квартир) увеличились в 2024 году на 4,6% (в 2023 году – на 7,0%), в том числе </w:t>
      </w:r>
      <w:r w:rsidRPr="001515EA">
        <w:rPr>
          <w:color w:val="000000" w:themeColor="text1"/>
          <w:sz w:val="28"/>
          <w:szCs w:val="28"/>
        </w:rPr>
        <w:t xml:space="preserve">стоимость содержания и ремонта жилья выросла на 8,3%, услуг </w:t>
      </w:r>
      <w:r w:rsidRPr="001515EA">
        <w:rPr>
          <w:color w:val="000000"/>
          <w:sz w:val="28"/>
          <w:szCs w:val="28"/>
        </w:rPr>
        <w:t>по организации и выполнению работ по эксплуатации домов ЖК, ЖСК, ТСЖ</w:t>
      </w:r>
      <w:r>
        <w:rPr>
          <w:color w:val="000000"/>
          <w:sz w:val="28"/>
          <w:szCs w:val="28"/>
        </w:rPr>
        <w:t xml:space="preserve"> – на 7,6%, взносов </w:t>
      </w:r>
      <w:r w:rsidRPr="00D15298">
        <w:rPr>
          <w:color w:val="000000"/>
          <w:sz w:val="28"/>
          <w:szCs w:val="28"/>
        </w:rPr>
        <w:t xml:space="preserve">на капитальный ремонт – на 4,7%, </w:t>
      </w:r>
      <w:r>
        <w:rPr>
          <w:color w:val="000000"/>
          <w:sz w:val="28"/>
          <w:szCs w:val="28"/>
        </w:rPr>
        <w:t>н</w:t>
      </w:r>
      <w:r w:rsidRPr="001515E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 w:rsidRPr="001515E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 w:rsidRPr="001515EA">
        <w:rPr>
          <w:color w:val="000000"/>
          <w:sz w:val="28"/>
          <w:szCs w:val="28"/>
        </w:rPr>
        <w:t xml:space="preserve"> жилых помещений в государственном и муниципальном жилищных фондах</w:t>
      </w:r>
      <w:r w:rsidRPr="00D152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на 2,7%. Стоимость аренды квартир выросла за год незначительно – на 1,6%.</w:t>
      </w:r>
    </w:p>
    <w:p w14:paraId="6DF66256" w14:textId="77777777" w:rsidR="00615626" w:rsidRPr="009E58AF" w:rsidRDefault="00615626" w:rsidP="00615626">
      <w:pPr>
        <w:pStyle w:val="a3"/>
        <w:tabs>
          <w:tab w:val="left" w:pos="7650"/>
        </w:tabs>
        <w:spacing w:before="60" w:beforeAutospacing="0" w:after="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7B44">
        <w:rPr>
          <w:color w:val="000000"/>
          <w:sz w:val="28"/>
          <w:szCs w:val="28"/>
        </w:rPr>
        <w:t xml:space="preserve">Из других видов услуг на 34,9% увеличилась в 2024 году стоимость услуг банков, в том числе  платы за пользование потребительским кредитом (процентная ставка в стоимостном выражении) - на 38,4%; </w:t>
      </w:r>
      <w:r w:rsidRPr="006017BD">
        <w:rPr>
          <w:color w:val="000000"/>
          <w:sz w:val="28"/>
          <w:szCs w:val="28"/>
        </w:rPr>
        <w:t xml:space="preserve">на 28,7% - стоимость билетов в музеи и на выставки; </w:t>
      </w:r>
      <w:r w:rsidRPr="009E58AF">
        <w:rPr>
          <w:color w:val="000000"/>
          <w:sz w:val="28"/>
          <w:szCs w:val="28"/>
        </w:rPr>
        <w:t>на 26,3% - билетов в кинотеатр;</w:t>
      </w:r>
      <w:r>
        <w:rPr>
          <w:color w:val="000000"/>
          <w:sz w:val="28"/>
          <w:szCs w:val="28"/>
        </w:rPr>
        <w:t xml:space="preserve"> </w:t>
      </w:r>
      <w:r w:rsidRPr="006017BD">
        <w:rPr>
          <w:color w:val="000000"/>
          <w:sz w:val="28"/>
          <w:szCs w:val="28"/>
        </w:rPr>
        <w:t>на 2</w:t>
      </w:r>
      <w:r>
        <w:rPr>
          <w:color w:val="000000"/>
          <w:sz w:val="28"/>
          <w:szCs w:val="28"/>
        </w:rPr>
        <w:t>5,1% - абонентской платы за пакет услуг сотовой связи</w:t>
      </w:r>
      <w:r w:rsidRPr="00297B4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на 24,4% - начального курса обучения вождению легкового автомобиля</w:t>
      </w:r>
      <w:r w:rsidRPr="006017BD">
        <w:rPr>
          <w:color w:val="000000"/>
          <w:sz w:val="28"/>
          <w:szCs w:val="28"/>
        </w:rPr>
        <w:t xml:space="preserve">; </w:t>
      </w:r>
      <w:r w:rsidRPr="00297B44">
        <w:rPr>
          <w:color w:val="000000"/>
          <w:sz w:val="28"/>
          <w:szCs w:val="28"/>
        </w:rPr>
        <w:t xml:space="preserve">на 24,0% - мойка легкового автомобиля; </w:t>
      </w:r>
      <w:r w:rsidRPr="009E58AF">
        <w:rPr>
          <w:color w:val="000000"/>
          <w:sz w:val="28"/>
          <w:szCs w:val="28"/>
        </w:rPr>
        <w:t>на 15,9% - проезд в междугороднем автобусе; на 14,1% - шиномонтажа колес легкового автомобиля; стоимость выполнения обойных работ – на 13,3%, установки пластиковых окон – на 13,0%</w:t>
      </w:r>
      <w:r w:rsidRPr="009A6690">
        <w:rPr>
          <w:color w:val="000000"/>
          <w:sz w:val="28"/>
          <w:szCs w:val="28"/>
        </w:rPr>
        <w:t>; на 11,9% - ремонта холодильников.</w:t>
      </w:r>
    </w:p>
    <w:p w14:paraId="20277534" w14:textId="77777777" w:rsidR="00615626" w:rsidRPr="006017BD" w:rsidRDefault="00615626" w:rsidP="00615626">
      <w:pPr>
        <w:pStyle w:val="a3"/>
        <w:tabs>
          <w:tab w:val="left" w:pos="7650"/>
        </w:tabs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17BD">
        <w:rPr>
          <w:color w:val="000000" w:themeColor="text1"/>
          <w:sz w:val="28"/>
          <w:szCs w:val="28"/>
        </w:rPr>
        <w:t xml:space="preserve">Стоимость услуг в сфере зарубежного туризма увеличилась на 18,8%, в том числе поездки на отдых в Турцию – на 28,4%, поездки в Объединенные Арабские Эмираты – на 22,4%. </w:t>
      </w:r>
    </w:p>
    <w:p w14:paraId="24C81E63" w14:textId="77777777" w:rsidR="00615626" w:rsidRPr="0001588E" w:rsidRDefault="00615626" w:rsidP="00615626">
      <w:pPr>
        <w:pStyle w:val="a3"/>
        <w:tabs>
          <w:tab w:val="left" w:pos="7650"/>
        </w:tabs>
        <w:spacing w:before="60" w:beforeAutospacing="0" w:after="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E58AF">
        <w:rPr>
          <w:color w:val="000000" w:themeColor="text1"/>
          <w:sz w:val="28"/>
          <w:szCs w:val="28"/>
        </w:rPr>
        <w:t>Значительно увеличилась в 2024 году и стоимость поездки на отдых на Черноморское побережье России - на 21,9%, а также экскурсионных туров по России - на 14,0%.</w:t>
      </w:r>
    </w:p>
    <w:p w14:paraId="2C429548" w14:textId="77777777" w:rsidR="00615626" w:rsidRPr="00E7042A" w:rsidRDefault="00615626" w:rsidP="00615626">
      <w:pPr>
        <w:widowControl w:val="0"/>
        <w:suppressAutoHyphens/>
        <w:spacing w:before="60" w:after="20" w:line="336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7042A">
        <w:rPr>
          <w:rFonts w:ascii="Times New Roman" w:hAnsi="Times New Roman" w:cs="Times New Roman"/>
          <w:color w:val="00000A"/>
          <w:sz w:val="28"/>
          <w:szCs w:val="28"/>
        </w:rPr>
        <w:t>Для анализа ценовых процессов как в целом по России, так и в разрезе субъектов Российской Федерации, помимо индекса потребительских цен исчисляются стоимости наборов товаров (услуг), позволяющие осуществлять межрегиональные сопоставления цен в условиях постоянной структуры потребления населением тех или иных потребительских товаров и услуг.</w:t>
      </w:r>
    </w:p>
    <w:p w14:paraId="1165B26B" w14:textId="77777777" w:rsidR="00615626" w:rsidRPr="00E7042A" w:rsidRDefault="00615626" w:rsidP="00615626">
      <w:pPr>
        <w:widowControl w:val="0"/>
        <w:suppressAutoHyphens/>
        <w:spacing w:before="60" w:after="20" w:line="336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7042A">
        <w:rPr>
          <w:rFonts w:ascii="Times New Roman" w:hAnsi="Times New Roman" w:cs="Times New Roman"/>
          <w:color w:val="00000A"/>
          <w:sz w:val="28"/>
          <w:szCs w:val="28"/>
        </w:rPr>
        <w:t xml:space="preserve">Общим принципом при исчислении этих показателей является использование единых весов (количества товаров), сохраняющихся </w:t>
      </w:r>
      <w:r w:rsidRPr="00E7042A">
        <w:rPr>
          <w:rFonts w:ascii="Times New Roman" w:hAnsi="Times New Roman" w:cs="Times New Roman"/>
          <w:color w:val="00000A"/>
          <w:sz w:val="28"/>
          <w:szCs w:val="28"/>
        </w:rPr>
        <w:lastRenderedPageBreak/>
        <w:t>постоянными на все время исчисления показателей, и фактических средних потребительских цен по субъектам Российской Федерации и России в целом.</w:t>
      </w:r>
    </w:p>
    <w:p w14:paraId="057A5C63" w14:textId="77777777" w:rsidR="00615626" w:rsidRPr="00E7042A" w:rsidRDefault="00615626" w:rsidP="00615626">
      <w:pPr>
        <w:widowControl w:val="0"/>
        <w:suppressAutoHyphens/>
        <w:spacing w:before="60" w:after="20" w:line="336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7042A">
        <w:rPr>
          <w:rFonts w:ascii="Times New Roman" w:hAnsi="Times New Roman" w:cs="Times New Roman"/>
          <w:color w:val="00000A"/>
          <w:sz w:val="28"/>
          <w:szCs w:val="28"/>
        </w:rPr>
        <w:t>Используемые в расчетах веса являются условными и не ставят задачи отразить реальные объемы потребления товаров в данный момент времени.</w:t>
      </w:r>
    </w:p>
    <w:p w14:paraId="4236E734" w14:textId="77777777" w:rsidR="00615626" w:rsidRPr="00E7042A" w:rsidRDefault="00615626" w:rsidP="00615626">
      <w:pPr>
        <w:widowControl w:val="0"/>
        <w:suppressAutoHyphens/>
        <w:spacing w:before="60" w:after="20" w:line="336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7042A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Стоимость условного (минимального) набора продуктов питания</w:t>
      </w:r>
      <w:r w:rsidRPr="00E7042A">
        <w:rPr>
          <w:rFonts w:ascii="Times New Roman" w:hAnsi="Times New Roman" w:cs="Times New Roman"/>
          <w:color w:val="00000A"/>
          <w:sz w:val="28"/>
          <w:szCs w:val="28"/>
        </w:rPr>
        <w:t xml:space="preserve"> отражает межрегиональную дифференциацию уровней потребительских цен на основные продукты питания, входящие в него. В состав этого набора включено 33 наименования продовольственных товаров. Данные о стоимости набора определяются в расчете на одного человека в месяц.</w:t>
      </w:r>
    </w:p>
    <w:p w14:paraId="4F509A4B" w14:textId="77777777" w:rsidR="00615626" w:rsidRPr="00B62DEE" w:rsidRDefault="00615626" w:rsidP="00615626">
      <w:pPr>
        <w:widowControl w:val="0"/>
        <w:suppressAutoHyphens/>
        <w:spacing w:before="60" w:after="2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62DEE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населения</w:t>
      </w:r>
      <w:r w:rsidRPr="00B62DEE">
        <w:rPr>
          <w:rFonts w:ascii="Times New Roman" w:hAnsi="Times New Roman" w:cs="Times New Roman"/>
          <w:color w:val="00000A"/>
          <w:sz w:val="28"/>
          <w:szCs w:val="28"/>
        </w:rPr>
        <w:t>, исчисленная по субъектам Российской Федерации, является показателем, который может быть использован как вспомогательный инструмент при оценке уровня материального благосостояния населения, отражая сложившийся уровень цен как на продовольственные, так и непродовольственные товары, а также услуги.</w:t>
      </w:r>
    </w:p>
    <w:p w14:paraId="623C185E" w14:textId="77777777" w:rsidR="00615626" w:rsidRPr="00D9386B" w:rsidRDefault="00615626" w:rsidP="00615626">
      <w:pPr>
        <w:widowControl w:val="0"/>
        <w:suppressAutoHyphens/>
        <w:spacing w:before="60" w:after="2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62DEE">
        <w:rPr>
          <w:rFonts w:ascii="Times New Roman" w:hAnsi="Times New Roman" w:cs="Times New Roman"/>
          <w:color w:val="00000A"/>
          <w:sz w:val="28"/>
          <w:szCs w:val="28"/>
        </w:rPr>
        <w:t>В состав набора включены 83 наименования товаров и услуг всех основных товарных групп (групп услуг), по которым организовано наблюдение за ценами</w:t>
      </w:r>
      <w:r w:rsidRPr="00BA6B82">
        <w:rPr>
          <w:rFonts w:ascii="Times New Roman" w:hAnsi="Times New Roman" w:cs="Times New Roman"/>
          <w:color w:val="00000A"/>
          <w:sz w:val="28"/>
          <w:szCs w:val="28"/>
        </w:rPr>
        <w:t xml:space="preserve">: </w:t>
      </w:r>
      <w:r w:rsidRPr="00B62DEE">
        <w:rPr>
          <w:rFonts w:ascii="Times New Roman" w:hAnsi="Times New Roman" w:cs="Times New Roman"/>
          <w:color w:val="00000A"/>
          <w:sz w:val="28"/>
          <w:szCs w:val="28"/>
        </w:rPr>
        <w:t>30 видов продовольственных товаров, 41 вид непродовольственных товаров и 12 видов услуг.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62DEE">
        <w:rPr>
          <w:rFonts w:ascii="Times New Roman" w:hAnsi="Times New Roman" w:cs="Times New Roman"/>
          <w:color w:val="00000A"/>
          <w:sz w:val="28"/>
          <w:szCs w:val="28"/>
        </w:rPr>
        <w:t>Данные о стоимости набора определяются в расчете на одного человека в месяц.</w:t>
      </w:r>
    </w:p>
    <w:p w14:paraId="367FC848" w14:textId="77777777" w:rsidR="00615626" w:rsidRDefault="00615626" w:rsidP="00615626">
      <w:pPr>
        <w:widowControl w:val="0"/>
        <w:suppressAutoHyphens/>
        <w:spacing w:before="60" w:after="2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Стоимости вышеуказанных наборов в декабре 2024 года в Белгородской области сложились ниже среднего уровня по Центральному федеральному округу (7422,00 и 26874,87 рубля) и Российской Федерации в целом (соответственно 7093,00 и 23780,25 рубля).</w:t>
      </w:r>
    </w:p>
    <w:p w14:paraId="5F334ED7" w14:textId="77777777" w:rsidR="00615626" w:rsidRDefault="00615626" w:rsidP="00615626">
      <w:pPr>
        <w:widowControl w:val="0"/>
        <w:suppressAutoHyphens/>
        <w:spacing w:before="60" w:after="2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Белгородской области стоимость минимального набора продуктов питания составила </w:t>
      </w:r>
      <w:r w:rsidRPr="00F541CC">
        <w:rPr>
          <w:rFonts w:ascii="Times New Roman" w:hAnsi="Times New Roman" w:cs="Times New Roman"/>
          <w:color w:val="00000A"/>
          <w:sz w:val="28"/>
          <w:szCs w:val="28"/>
        </w:rPr>
        <w:t xml:space="preserve">6013,78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рубля – это наименьшая в ЦФО, максимальная величина - в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(8556,44 рубля). В целом по Российской Федерации меньше стоимость вышеуказанного набора зафиксирована только в Республике Мордовия – 5811,28 и Пензенской области – 5987,96 рубля.</w:t>
      </w:r>
    </w:p>
    <w:p w14:paraId="4E648265" w14:textId="77777777" w:rsidR="00615626" w:rsidRDefault="00615626" w:rsidP="00615626">
      <w:pPr>
        <w:widowControl w:val="0"/>
        <w:suppressAutoHyphens/>
        <w:spacing w:before="60" w:after="2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Стоимость фиксированного набора товаров и услуг в Белгородской области в декабре прошлого года составила </w:t>
      </w:r>
      <w:r w:rsidRPr="009B054A">
        <w:rPr>
          <w:rFonts w:ascii="Times New Roman" w:hAnsi="Times New Roman" w:cs="Times New Roman"/>
          <w:color w:val="00000A"/>
          <w:sz w:val="28"/>
          <w:szCs w:val="28"/>
        </w:rPr>
        <w:t xml:space="preserve">20570,47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рубля - также наименьшая из областей Центрального федерального округа, самая наибольшая – тоже в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Pr="00F541CC">
        <w:rPr>
          <w:rFonts w:ascii="Times New Roman" w:hAnsi="Times New Roman" w:cs="Times New Roman"/>
          <w:color w:val="00000A"/>
          <w:sz w:val="28"/>
          <w:szCs w:val="28"/>
        </w:rPr>
        <w:t>35151,49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рубля). Меньше, чем в Белгородской области, стоимость фиксированного набора товаров и услуг только в 3-х субъектах Российской Федерации (Астраханской области, Республике Мордовия и Республике Адыгея).</w:t>
      </w:r>
    </w:p>
    <w:sectPr w:rsidR="00615626" w:rsidSect="00990D7F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D0F5D" w14:textId="77777777" w:rsidR="00B52896" w:rsidRDefault="00B52896" w:rsidP="001A22CD">
      <w:pPr>
        <w:spacing w:after="0" w:line="240" w:lineRule="auto"/>
      </w:pPr>
      <w:r>
        <w:separator/>
      </w:r>
    </w:p>
  </w:endnote>
  <w:endnote w:type="continuationSeparator" w:id="0">
    <w:p w14:paraId="35C48EAD" w14:textId="77777777" w:rsidR="00B52896" w:rsidRDefault="00B52896" w:rsidP="001A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em Text Itali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tem 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tem Extra 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75748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A81F2E7" w14:textId="77777777" w:rsidR="00CF6FF5" w:rsidRPr="001A22CD" w:rsidRDefault="00CF6FF5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22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22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22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04D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A22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5036C0" w14:textId="77777777" w:rsidR="00CF6FF5" w:rsidRDefault="00CF6F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0821" w14:textId="77777777" w:rsidR="00B52896" w:rsidRDefault="00B52896" w:rsidP="001A22CD">
      <w:pPr>
        <w:spacing w:after="0" w:line="240" w:lineRule="auto"/>
      </w:pPr>
      <w:r>
        <w:separator/>
      </w:r>
    </w:p>
  </w:footnote>
  <w:footnote w:type="continuationSeparator" w:id="0">
    <w:p w14:paraId="5D745315" w14:textId="77777777" w:rsidR="00B52896" w:rsidRDefault="00B52896" w:rsidP="001A2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5C30"/>
    <w:multiLevelType w:val="multilevel"/>
    <w:tmpl w:val="D37A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42F93"/>
    <w:multiLevelType w:val="hybridMultilevel"/>
    <w:tmpl w:val="C8BC5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6D3C4D"/>
    <w:multiLevelType w:val="multilevel"/>
    <w:tmpl w:val="1DEE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A71FC7"/>
    <w:multiLevelType w:val="multilevel"/>
    <w:tmpl w:val="889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20682"/>
    <w:multiLevelType w:val="hybridMultilevel"/>
    <w:tmpl w:val="AE5ED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C046E7"/>
    <w:multiLevelType w:val="multilevel"/>
    <w:tmpl w:val="B80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E400E"/>
    <w:multiLevelType w:val="hybridMultilevel"/>
    <w:tmpl w:val="4F40D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CA6C52"/>
    <w:multiLevelType w:val="hybridMultilevel"/>
    <w:tmpl w:val="8F5AF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296681">
    <w:abstractNumId w:val="7"/>
  </w:num>
  <w:num w:numId="2" w16cid:durableId="324868346">
    <w:abstractNumId w:val="6"/>
  </w:num>
  <w:num w:numId="3" w16cid:durableId="2010907168">
    <w:abstractNumId w:val="1"/>
  </w:num>
  <w:num w:numId="4" w16cid:durableId="1262639631">
    <w:abstractNumId w:val="4"/>
  </w:num>
  <w:num w:numId="5" w16cid:durableId="2147114823">
    <w:abstractNumId w:val="2"/>
  </w:num>
  <w:num w:numId="6" w16cid:durableId="152835735">
    <w:abstractNumId w:val="5"/>
  </w:num>
  <w:num w:numId="7" w16cid:durableId="699628101">
    <w:abstractNumId w:val="0"/>
  </w:num>
  <w:num w:numId="8" w16cid:durableId="1433208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16"/>
    <w:rsid w:val="000017F8"/>
    <w:rsid w:val="0000634B"/>
    <w:rsid w:val="00007661"/>
    <w:rsid w:val="0001177A"/>
    <w:rsid w:val="000120F1"/>
    <w:rsid w:val="00012D04"/>
    <w:rsid w:val="00013AD3"/>
    <w:rsid w:val="00014516"/>
    <w:rsid w:val="00014B29"/>
    <w:rsid w:val="0001588E"/>
    <w:rsid w:val="00016758"/>
    <w:rsid w:val="000172EA"/>
    <w:rsid w:val="000179EF"/>
    <w:rsid w:val="00021C4D"/>
    <w:rsid w:val="000228C1"/>
    <w:rsid w:val="000257BE"/>
    <w:rsid w:val="00026A4B"/>
    <w:rsid w:val="000315FC"/>
    <w:rsid w:val="000329B4"/>
    <w:rsid w:val="00032AF6"/>
    <w:rsid w:val="00040908"/>
    <w:rsid w:val="00041519"/>
    <w:rsid w:val="00042398"/>
    <w:rsid w:val="00042A5F"/>
    <w:rsid w:val="00043576"/>
    <w:rsid w:val="00043F81"/>
    <w:rsid w:val="00044B86"/>
    <w:rsid w:val="00044EE2"/>
    <w:rsid w:val="00051070"/>
    <w:rsid w:val="000515D8"/>
    <w:rsid w:val="00052282"/>
    <w:rsid w:val="00052E86"/>
    <w:rsid w:val="00053EC4"/>
    <w:rsid w:val="00054978"/>
    <w:rsid w:val="00055B2F"/>
    <w:rsid w:val="000576EA"/>
    <w:rsid w:val="00062FBC"/>
    <w:rsid w:val="00064960"/>
    <w:rsid w:val="00064A2C"/>
    <w:rsid w:val="0006502E"/>
    <w:rsid w:val="00065FB7"/>
    <w:rsid w:val="00066DC3"/>
    <w:rsid w:val="00067770"/>
    <w:rsid w:val="0007305C"/>
    <w:rsid w:val="00073133"/>
    <w:rsid w:val="00073ADD"/>
    <w:rsid w:val="000767C3"/>
    <w:rsid w:val="00082711"/>
    <w:rsid w:val="00082ADC"/>
    <w:rsid w:val="00083066"/>
    <w:rsid w:val="00085590"/>
    <w:rsid w:val="00086601"/>
    <w:rsid w:val="00086C7A"/>
    <w:rsid w:val="000870EE"/>
    <w:rsid w:val="000907E7"/>
    <w:rsid w:val="00090A83"/>
    <w:rsid w:val="00092BA5"/>
    <w:rsid w:val="00092FB6"/>
    <w:rsid w:val="00095049"/>
    <w:rsid w:val="00096835"/>
    <w:rsid w:val="000A13A8"/>
    <w:rsid w:val="000A1545"/>
    <w:rsid w:val="000A2C59"/>
    <w:rsid w:val="000B0DBE"/>
    <w:rsid w:val="000B1082"/>
    <w:rsid w:val="000B1A40"/>
    <w:rsid w:val="000B3908"/>
    <w:rsid w:val="000B643F"/>
    <w:rsid w:val="000B777C"/>
    <w:rsid w:val="000C54D1"/>
    <w:rsid w:val="000C74A1"/>
    <w:rsid w:val="000D29A2"/>
    <w:rsid w:val="000D6DC8"/>
    <w:rsid w:val="000E0AF5"/>
    <w:rsid w:val="000E0E7C"/>
    <w:rsid w:val="000E248E"/>
    <w:rsid w:val="000E56AB"/>
    <w:rsid w:val="000E5B21"/>
    <w:rsid w:val="000E7AFC"/>
    <w:rsid w:val="000F2E59"/>
    <w:rsid w:val="000F4330"/>
    <w:rsid w:val="000F45AE"/>
    <w:rsid w:val="000F504B"/>
    <w:rsid w:val="000F57AF"/>
    <w:rsid w:val="00102034"/>
    <w:rsid w:val="001029EA"/>
    <w:rsid w:val="00104FFC"/>
    <w:rsid w:val="00106FFB"/>
    <w:rsid w:val="0011097A"/>
    <w:rsid w:val="00110D9A"/>
    <w:rsid w:val="00111962"/>
    <w:rsid w:val="0012018A"/>
    <w:rsid w:val="001229AE"/>
    <w:rsid w:val="0012354B"/>
    <w:rsid w:val="00123D94"/>
    <w:rsid w:val="00127965"/>
    <w:rsid w:val="00131BB1"/>
    <w:rsid w:val="00135D99"/>
    <w:rsid w:val="00142291"/>
    <w:rsid w:val="00145BBF"/>
    <w:rsid w:val="00145C6E"/>
    <w:rsid w:val="001515EA"/>
    <w:rsid w:val="00151D20"/>
    <w:rsid w:val="00151F1D"/>
    <w:rsid w:val="00152253"/>
    <w:rsid w:val="0015276C"/>
    <w:rsid w:val="0015533F"/>
    <w:rsid w:val="00162E5B"/>
    <w:rsid w:val="00163AAD"/>
    <w:rsid w:val="00165587"/>
    <w:rsid w:val="0017226B"/>
    <w:rsid w:val="00174573"/>
    <w:rsid w:val="001755B4"/>
    <w:rsid w:val="001803E6"/>
    <w:rsid w:val="001834A7"/>
    <w:rsid w:val="00193160"/>
    <w:rsid w:val="001939FA"/>
    <w:rsid w:val="00193ACB"/>
    <w:rsid w:val="00193D05"/>
    <w:rsid w:val="00193DAF"/>
    <w:rsid w:val="0019513F"/>
    <w:rsid w:val="00195222"/>
    <w:rsid w:val="00196A93"/>
    <w:rsid w:val="00196C62"/>
    <w:rsid w:val="0019708F"/>
    <w:rsid w:val="00197C69"/>
    <w:rsid w:val="001A16A4"/>
    <w:rsid w:val="001A22CD"/>
    <w:rsid w:val="001A2B16"/>
    <w:rsid w:val="001A685A"/>
    <w:rsid w:val="001A7FC0"/>
    <w:rsid w:val="001B02AB"/>
    <w:rsid w:val="001B192C"/>
    <w:rsid w:val="001B385E"/>
    <w:rsid w:val="001B3D28"/>
    <w:rsid w:val="001B3FB6"/>
    <w:rsid w:val="001B7A05"/>
    <w:rsid w:val="001C1EF9"/>
    <w:rsid w:val="001C33EA"/>
    <w:rsid w:val="001D51DB"/>
    <w:rsid w:val="001E4350"/>
    <w:rsid w:val="001E4F84"/>
    <w:rsid w:val="001E6216"/>
    <w:rsid w:val="001F2FED"/>
    <w:rsid w:val="001F4175"/>
    <w:rsid w:val="001F70E4"/>
    <w:rsid w:val="0020231E"/>
    <w:rsid w:val="00202888"/>
    <w:rsid w:val="002043BE"/>
    <w:rsid w:val="002059EA"/>
    <w:rsid w:val="002063B9"/>
    <w:rsid w:val="002068BC"/>
    <w:rsid w:val="00212E1C"/>
    <w:rsid w:val="0022146E"/>
    <w:rsid w:val="00221AFA"/>
    <w:rsid w:val="00221E31"/>
    <w:rsid w:val="00225059"/>
    <w:rsid w:val="0022547B"/>
    <w:rsid w:val="00227DF9"/>
    <w:rsid w:val="00230F6C"/>
    <w:rsid w:val="00231965"/>
    <w:rsid w:val="00232FD0"/>
    <w:rsid w:val="00234085"/>
    <w:rsid w:val="002340FF"/>
    <w:rsid w:val="00236A45"/>
    <w:rsid w:val="00236CE8"/>
    <w:rsid w:val="00237179"/>
    <w:rsid w:val="00237218"/>
    <w:rsid w:val="00240BBB"/>
    <w:rsid w:val="002444C6"/>
    <w:rsid w:val="00245372"/>
    <w:rsid w:val="0024721A"/>
    <w:rsid w:val="00251978"/>
    <w:rsid w:val="00253F87"/>
    <w:rsid w:val="00254D59"/>
    <w:rsid w:val="00257D8C"/>
    <w:rsid w:val="00263315"/>
    <w:rsid w:val="00263974"/>
    <w:rsid w:val="00266CB9"/>
    <w:rsid w:val="00271CFC"/>
    <w:rsid w:val="00273D48"/>
    <w:rsid w:val="00275795"/>
    <w:rsid w:val="002778F9"/>
    <w:rsid w:val="002806AE"/>
    <w:rsid w:val="00281FEC"/>
    <w:rsid w:val="00282CB2"/>
    <w:rsid w:val="00284093"/>
    <w:rsid w:val="002868E4"/>
    <w:rsid w:val="002876C6"/>
    <w:rsid w:val="00290C4D"/>
    <w:rsid w:val="0029449A"/>
    <w:rsid w:val="002956BA"/>
    <w:rsid w:val="00297B44"/>
    <w:rsid w:val="002A00AE"/>
    <w:rsid w:val="002A4204"/>
    <w:rsid w:val="002A6452"/>
    <w:rsid w:val="002B045C"/>
    <w:rsid w:val="002B195C"/>
    <w:rsid w:val="002B1CAC"/>
    <w:rsid w:val="002B1CD8"/>
    <w:rsid w:val="002B2CDE"/>
    <w:rsid w:val="002B75B3"/>
    <w:rsid w:val="002C5C43"/>
    <w:rsid w:val="002C6600"/>
    <w:rsid w:val="002D1905"/>
    <w:rsid w:val="002D513C"/>
    <w:rsid w:val="002D64D1"/>
    <w:rsid w:val="002D6E10"/>
    <w:rsid w:val="002E010C"/>
    <w:rsid w:val="002E1A05"/>
    <w:rsid w:val="002E29EE"/>
    <w:rsid w:val="002E2FAF"/>
    <w:rsid w:val="002E623F"/>
    <w:rsid w:val="002F000D"/>
    <w:rsid w:val="002F0CF1"/>
    <w:rsid w:val="002F1481"/>
    <w:rsid w:val="002F52BB"/>
    <w:rsid w:val="002F5A2A"/>
    <w:rsid w:val="00300C6E"/>
    <w:rsid w:val="003045E3"/>
    <w:rsid w:val="00304ED0"/>
    <w:rsid w:val="00305927"/>
    <w:rsid w:val="00306090"/>
    <w:rsid w:val="00306D01"/>
    <w:rsid w:val="00307462"/>
    <w:rsid w:val="00310927"/>
    <w:rsid w:val="00320CCB"/>
    <w:rsid w:val="00322141"/>
    <w:rsid w:val="003231A7"/>
    <w:rsid w:val="00325974"/>
    <w:rsid w:val="00326A36"/>
    <w:rsid w:val="00330248"/>
    <w:rsid w:val="00330C0D"/>
    <w:rsid w:val="003317F6"/>
    <w:rsid w:val="00334EAF"/>
    <w:rsid w:val="00335E57"/>
    <w:rsid w:val="0033702E"/>
    <w:rsid w:val="00341715"/>
    <w:rsid w:val="003430A2"/>
    <w:rsid w:val="003435EC"/>
    <w:rsid w:val="00343804"/>
    <w:rsid w:val="00345042"/>
    <w:rsid w:val="00345EBE"/>
    <w:rsid w:val="0035229E"/>
    <w:rsid w:val="00356363"/>
    <w:rsid w:val="00356B76"/>
    <w:rsid w:val="00361D90"/>
    <w:rsid w:val="00366ED0"/>
    <w:rsid w:val="00370E3B"/>
    <w:rsid w:val="00372386"/>
    <w:rsid w:val="00374BC0"/>
    <w:rsid w:val="003755BC"/>
    <w:rsid w:val="003763BE"/>
    <w:rsid w:val="00381559"/>
    <w:rsid w:val="00381EE4"/>
    <w:rsid w:val="0038332A"/>
    <w:rsid w:val="00384F51"/>
    <w:rsid w:val="00391A6D"/>
    <w:rsid w:val="00393F2C"/>
    <w:rsid w:val="00393FF6"/>
    <w:rsid w:val="003A1857"/>
    <w:rsid w:val="003B4244"/>
    <w:rsid w:val="003B425B"/>
    <w:rsid w:val="003B44CE"/>
    <w:rsid w:val="003B6DEE"/>
    <w:rsid w:val="003C4624"/>
    <w:rsid w:val="003C490B"/>
    <w:rsid w:val="003C6159"/>
    <w:rsid w:val="003C6EE1"/>
    <w:rsid w:val="003D2842"/>
    <w:rsid w:val="003D39DD"/>
    <w:rsid w:val="003D4D82"/>
    <w:rsid w:val="003D7452"/>
    <w:rsid w:val="003E1850"/>
    <w:rsid w:val="003E1A2B"/>
    <w:rsid w:val="003E27AB"/>
    <w:rsid w:val="003E6753"/>
    <w:rsid w:val="003F0E47"/>
    <w:rsid w:val="003F1F55"/>
    <w:rsid w:val="003F2876"/>
    <w:rsid w:val="003F311C"/>
    <w:rsid w:val="003F4D4C"/>
    <w:rsid w:val="003F7E82"/>
    <w:rsid w:val="003F7FF9"/>
    <w:rsid w:val="00401AC4"/>
    <w:rsid w:val="00403384"/>
    <w:rsid w:val="00405007"/>
    <w:rsid w:val="00405781"/>
    <w:rsid w:val="00405950"/>
    <w:rsid w:val="00410FC9"/>
    <w:rsid w:val="0042115B"/>
    <w:rsid w:val="004216E0"/>
    <w:rsid w:val="004220E4"/>
    <w:rsid w:val="004228FB"/>
    <w:rsid w:val="00434DF1"/>
    <w:rsid w:val="00434FD5"/>
    <w:rsid w:val="0043568E"/>
    <w:rsid w:val="0043727F"/>
    <w:rsid w:val="00437F82"/>
    <w:rsid w:val="004437FC"/>
    <w:rsid w:val="00445756"/>
    <w:rsid w:val="004463AC"/>
    <w:rsid w:val="004465ED"/>
    <w:rsid w:val="0045277D"/>
    <w:rsid w:val="00452CCE"/>
    <w:rsid w:val="0045369E"/>
    <w:rsid w:val="00455166"/>
    <w:rsid w:val="00455AE3"/>
    <w:rsid w:val="00455EE7"/>
    <w:rsid w:val="004573D2"/>
    <w:rsid w:val="00457CAC"/>
    <w:rsid w:val="004623DA"/>
    <w:rsid w:val="004637C3"/>
    <w:rsid w:val="00463D56"/>
    <w:rsid w:val="00466107"/>
    <w:rsid w:val="00467C08"/>
    <w:rsid w:val="00470864"/>
    <w:rsid w:val="00470884"/>
    <w:rsid w:val="00470C9E"/>
    <w:rsid w:val="00471035"/>
    <w:rsid w:val="00474AE9"/>
    <w:rsid w:val="00474D72"/>
    <w:rsid w:val="0047512C"/>
    <w:rsid w:val="00477C40"/>
    <w:rsid w:val="00480AD1"/>
    <w:rsid w:val="00485DFE"/>
    <w:rsid w:val="00486399"/>
    <w:rsid w:val="00486A7A"/>
    <w:rsid w:val="0049046B"/>
    <w:rsid w:val="00490568"/>
    <w:rsid w:val="00492DD2"/>
    <w:rsid w:val="004932C8"/>
    <w:rsid w:val="00493340"/>
    <w:rsid w:val="00494747"/>
    <w:rsid w:val="004966D1"/>
    <w:rsid w:val="004A0586"/>
    <w:rsid w:val="004A064B"/>
    <w:rsid w:val="004A14A0"/>
    <w:rsid w:val="004A16B5"/>
    <w:rsid w:val="004A191E"/>
    <w:rsid w:val="004A23D6"/>
    <w:rsid w:val="004A76C6"/>
    <w:rsid w:val="004A7F13"/>
    <w:rsid w:val="004B1E26"/>
    <w:rsid w:val="004B4168"/>
    <w:rsid w:val="004B7FA8"/>
    <w:rsid w:val="004C1F50"/>
    <w:rsid w:val="004C1F9B"/>
    <w:rsid w:val="004C3398"/>
    <w:rsid w:val="004C3F50"/>
    <w:rsid w:val="004C7301"/>
    <w:rsid w:val="004C7461"/>
    <w:rsid w:val="004D4161"/>
    <w:rsid w:val="004E092E"/>
    <w:rsid w:val="004E392A"/>
    <w:rsid w:val="004E479F"/>
    <w:rsid w:val="004E4CB0"/>
    <w:rsid w:val="004E5935"/>
    <w:rsid w:val="004E6378"/>
    <w:rsid w:val="004E6D00"/>
    <w:rsid w:val="004E6FB2"/>
    <w:rsid w:val="004F18BE"/>
    <w:rsid w:val="004F67F8"/>
    <w:rsid w:val="004F7E12"/>
    <w:rsid w:val="00501A3F"/>
    <w:rsid w:val="005022A3"/>
    <w:rsid w:val="005024B5"/>
    <w:rsid w:val="0051287B"/>
    <w:rsid w:val="00512F7B"/>
    <w:rsid w:val="00513034"/>
    <w:rsid w:val="00513D14"/>
    <w:rsid w:val="005158A2"/>
    <w:rsid w:val="00520C13"/>
    <w:rsid w:val="00524D1D"/>
    <w:rsid w:val="0052526F"/>
    <w:rsid w:val="00527B25"/>
    <w:rsid w:val="00531DEC"/>
    <w:rsid w:val="00535C50"/>
    <w:rsid w:val="0054004F"/>
    <w:rsid w:val="00541F97"/>
    <w:rsid w:val="0054512F"/>
    <w:rsid w:val="00545566"/>
    <w:rsid w:val="00545986"/>
    <w:rsid w:val="005505C7"/>
    <w:rsid w:val="00551B7F"/>
    <w:rsid w:val="005524D7"/>
    <w:rsid w:val="00552714"/>
    <w:rsid w:val="00555993"/>
    <w:rsid w:val="00556268"/>
    <w:rsid w:val="00563457"/>
    <w:rsid w:val="00564D0B"/>
    <w:rsid w:val="00565A7C"/>
    <w:rsid w:val="00565ABF"/>
    <w:rsid w:val="00570734"/>
    <w:rsid w:val="0057220F"/>
    <w:rsid w:val="00573247"/>
    <w:rsid w:val="00574402"/>
    <w:rsid w:val="00574AF9"/>
    <w:rsid w:val="00576131"/>
    <w:rsid w:val="00580E93"/>
    <w:rsid w:val="00581D6A"/>
    <w:rsid w:val="00584475"/>
    <w:rsid w:val="005857DE"/>
    <w:rsid w:val="00586144"/>
    <w:rsid w:val="00587C55"/>
    <w:rsid w:val="00587DE7"/>
    <w:rsid w:val="005911DC"/>
    <w:rsid w:val="005925D5"/>
    <w:rsid w:val="00592F3D"/>
    <w:rsid w:val="00595636"/>
    <w:rsid w:val="00595F06"/>
    <w:rsid w:val="005969B3"/>
    <w:rsid w:val="005A7D31"/>
    <w:rsid w:val="005B0FCF"/>
    <w:rsid w:val="005B11A0"/>
    <w:rsid w:val="005B1CB1"/>
    <w:rsid w:val="005B2FCC"/>
    <w:rsid w:val="005B6DBC"/>
    <w:rsid w:val="005B7E5A"/>
    <w:rsid w:val="005C07D6"/>
    <w:rsid w:val="005C6326"/>
    <w:rsid w:val="005D1168"/>
    <w:rsid w:val="005D1A26"/>
    <w:rsid w:val="005D76BD"/>
    <w:rsid w:val="005E04CF"/>
    <w:rsid w:val="005E19D5"/>
    <w:rsid w:val="005E1B67"/>
    <w:rsid w:val="005E2015"/>
    <w:rsid w:val="005E618B"/>
    <w:rsid w:val="005E7A34"/>
    <w:rsid w:val="005E7E9F"/>
    <w:rsid w:val="005F2674"/>
    <w:rsid w:val="005F41B7"/>
    <w:rsid w:val="005F4D38"/>
    <w:rsid w:val="006017BD"/>
    <w:rsid w:val="0060263F"/>
    <w:rsid w:val="006028EB"/>
    <w:rsid w:val="00606AE2"/>
    <w:rsid w:val="006114B1"/>
    <w:rsid w:val="00611CEB"/>
    <w:rsid w:val="00612A44"/>
    <w:rsid w:val="00613576"/>
    <w:rsid w:val="00613B7F"/>
    <w:rsid w:val="00614AFA"/>
    <w:rsid w:val="00615626"/>
    <w:rsid w:val="006171D5"/>
    <w:rsid w:val="00620C4A"/>
    <w:rsid w:val="0062489C"/>
    <w:rsid w:val="00625924"/>
    <w:rsid w:val="00627198"/>
    <w:rsid w:val="00627CD2"/>
    <w:rsid w:val="00627CD9"/>
    <w:rsid w:val="00630951"/>
    <w:rsid w:val="006317B6"/>
    <w:rsid w:val="0063404F"/>
    <w:rsid w:val="00636E8C"/>
    <w:rsid w:val="00640DC3"/>
    <w:rsid w:val="0064178B"/>
    <w:rsid w:val="006424AB"/>
    <w:rsid w:val="0064665E"/>
    <w:rsid w:val="00646A4C"/>
    <w:rsid w:val="00647176"/>
    <w:rsid w:val="00647C0A"/>
    <w:rsid w:val="0065312D"/>
    <w:rsid w:val="0066060A"/>
    <w:rsid w:val="00660FC2"/>
    <w:rsid w:val="00662291"/>
    <w:rsid w:val="00662E9C"/>
    <w:rsid w:val="00663045"/>
    <w:rsid w:val="0066621D"/>
    <w:rsid w:val="00673039"/>
    <w:rsid w:val="00673CB0"/>
    <w:rsid w:val="00674E28"/>
    <w:rsid w:val="006750C0"/>
    <w:rsid w:val="0067640D"/>
    <w:rsid w:val="006776C8"/>
    <w:rsid w:val="0068032D"/>
    <w:rsid w:val="006804BC"/>
    <w:rsid w:val="00681A61"/>
    <w:rsid w:val="00681DA5"/>
    <w:rsid w:val="00683A92"/>
    <w:rsid w:val="00685680"/>
    <w:rsid w:val="00685D96"/>
    <w:rsid w:val="00687112"/>
    <w:rsid w:val="00690A6C"/>
    <w:rsid w:val="00691C30"/>
    <w:rsid w:val="0069374A"/>
    <w:rsid w:val="006A3923"/>
    <w:rsid w:val="006A4733"/>
    <w:rsid w:val="006A5461"/>
    <w:rsid w:val="006A5FF7"/>
    <w:rsid w:val="006B1C8E"/>
    <w:rsid w:val="006B299F"/>
    <w:rsid w:val="006B3E7C"/>
    <w:rsid w:val="006B6937"/>
    <w:rsid w:val="006C00A9"/>
    <w:rsid w:val="006C0903"/>
    <w:rsid w:val="006C0A1A"/>
    <w:rsid w:val="006C1463"/>
    <w:rsid w:val="006C2FF2"/>
    <w:rsid w:val="006C4155"/>
    <w:rsid w:val="006C7A92"/>
    <w:rsid w:val="006D00E6"/>
    <w:rsid w:val="006D0B61"/>
    <w:rsid w:val="006D4400"/>
    <w:rsid w:val="006D579C"/>
    <w:rsid w:val="006D5814"/>
    <w:rsid w:val="006D716E"/>
    <w:rsid w:val="006E3094"/>
    <w:rsid w:val="006E32C6"/>
    <w:rsid w:val="006E749C"/>
    <w:rsid w:val="006F03D0"/>
    <w:rsid w:val="006F3AB9"/>
    <w:rsid w:val="006F5CBC"/>
    <w:rsid w:val="00702F05"/>
    <w:rsid w:val="007031B9"/>
    <w:rsid w:val="007059E5"/>
    <w:rsid w:val="00705E4D"/>
    <w:rsid w:val="0071122D"/>
    <w:rsid w:val="00711606"/>
    <w:rsid w:val="00713F69"/>
    <w:rsid w:val="007140C9"/>
    <w:rsid w:val="00715315"/>
    <w:rsid w:val="00716AFE"/>
    <w:rsid w:val="00717393"/>
    <w:rsid w:val="007226B6"/>
    <w:rsid w:val="00724AE6"/>
    <w:rsid w:val="00725440"/>
    <w:rsid w:val="007279E1"/>
    <w:rsid w:val="00727DC1"/>
    <w:rsid w:val="00733402"/>
    <w:rsid w:val="00735F43"/>
    <w:rsid w:val="007368FC"/>
    <w:rsid w:val="007378EE"/>
    <w:rsid w:val="00751BFE"/>
    <w:rsid w:val="007527AB"/>
    <w:rsid w:val="007533BC"/>
    <w:rsid w:val="00762EC8"/>
    <w:rsid w:val="00762ECC"/>
    <w:rsid w:val="00763087"/>
    <w:rsid w:val="00765732"/>
    <w:rsid w:val="007671E2"/>
    <w:rsid w:val="00770EF4"/>
    <w:rsid w:val="00774F5F"/>
    <w:rsid w:val="00775C4B"/>
    <w:rsid w:val="00777997"/>
    <w:rsid w:val="0078050E"/>
    <w:rsid w:val="007811C2"/>
    <w:rsid w:val="0078249D"/>
    <w:rsid w:val="00784928"/>
    <w:rsid w:val="007873D4"/>
    <w:rsid w:val="00796411"/>
    <w:rsid w:val="00797A4D"/>
    <w:rsid w:val="007A1476"/>
    <w:rsid w:val="007A3BB3"/>
    <w:rsid w:val="007A6D73"/>
    <w:rsid w:val="007A7C0D"/>
    <w:rsid w:val="007B198B"/>
    <w:rsid w:val="007B6074"/>
    <w:rsid w:val="007B6882"/>
    <w:rsid w:val="007B6E9A"/>
    <w:rsid w:val="007C0683"/>
    <w:rsid w:val="007C06C2"/>
    <w:rsid w:val="007C2D42"/>
    <w:rsid w:val="007C47EB"/>
    <w:rsid w:val="007C4E22"/>
    <w:rsid w:val="007C50FD"/>
    <w:rsid w:val="007C513E"/>
    <w:rsid w:val="007C54B3"/>
    <w:rsid w:val="007C5FAC"/>
    <w:rsid w:val="007C673C"/>
    <w:rsid w:val="007C6746"/>
    <w:rsid w:val="007D33D1"/>
    <w:rsid w:val="007D441F"/>
    <w:rsid w:val="007D4E4B"/>
    <w:rsid w:val="007D6B53"/>
    <w:rsid w:val="007D7BB2"/>
    <w:rsid w:val="007E3A8F"/>
    <w:rsid w:val="007E5371"/>
    <w:rsid w:val="007E5D3D"/>
    <w:rsid w:val="007E6F46"/>
    <w:rsid w:val="007F141D"/>
    <w:rsid w:val="007F143B"/>
    <w:rsid w:val="007F23A7"/>
    <w:rsid w:val="008001C8"/>
    <w:rsid w:val="00800BAC"/>
    <w:rsid w:val="008034E4"/>
    <w:rsid w:val="00804D3F"/>
    <w:rsid w:val="0081093C"/>
    <w:rsid w:val="00815891"/>
    <w:rsid w:val="00815C9D"/>
    <w:rsid w:val="0081749A"/>
    <w:rsid w:val="00817AC0"/>
    <w:rsid w:val="008265BA"/>
    <w:rsid w:val="0082766B"/>
    <w:rsid w:val="0083181F"/>
    <w:rsid w:val="0083302A"/>
    <w:rsid w:val="00835553"/>
    <w:rsid w:val="00836BC7"/>
    <w:rsid w:val="00837E7C"/>
    <w:rsid w:val="008409E9"/>
    <w:rsid w:val="00841DA3"/>
    <w:rsid w:val="00844BE1"/>
    <w:rsid w:val="00844BFC"/>
    <w:rsid w:val="00844F73"/>
    <w:rsid w:val="00846CB9"/>
    <w:rsid w:val="00846E9D"/>
    <w:rsid w:val="00850040"/>
    <w:rsid w:val="0085214F"/>
    <w:rsid w:val="00854CF9"/>
    <w:rsid w:val="00855C0F"/>
    <w:rsid w:val="00856096"/>
    <w:rsid w:val="00856712"/>
    <w:rsid w:val="00861B66"/>
    <w:rsid w:val="00864294"/>
    <w:rsid w:val="008657AA"/>
    <w:rsid w:val="0086588C"/>
    <w:rsid w:val="00866627"/>
    <w:rsid w:val="008668BA"/>
    <w:rsid w:val="00867CB4"/>
    <w:rsid w:val="00867F76"/>
    <w:rsid w:val="008700D8"/>
    <w:rsid w:val="008704BE"/>
    <w:rsid w:val="00871A15"/>
    <w:rsid w:val="00871E6F"/>
    <w:rsid w:val="00876AD4"/>
    <w:rsid w:val="00880E7A"/>
    <w:rsid w:val="0088503E"/>
    <w:rsid w:val="0089105B"/>
    <w:rsid w:val="00892529"/>
    <w:rsid w:val="0089390C"/>
    <w:rsid w:val="00894EF6"/>
    <w:rsid w:val="00894F1E"/>
    <w:rsid w:val="00897205"/>
    <w:rsid w:val="008975A5"/>
    <w:rsid w:val="008A3CBC"/>
    <w:rsid w:val="008A3CF8"/>
    <w:rsid w:val="008A4B8E"/>
    <w:rsid w:val="008A5F24"/>
    <w:rsid w:val="008B0659"/>
    <w:rsid w:val="008B1B14"/>
    <w:rsid w:val="008B37A0"/>
    <w:rsid w:val="008B4D9E"/>
    <w:rsid w:val="008C3E45"/>
    <w:rsid w:val="008C4325"/>
    <w:rsid w:val="008C4675"/>
    <w:rsid w:val="008C64F1"/>
    <w:rsid w:val="008C64FE"/>
    <w:rsid w:val="008C6D65"/>
    <w:rsid w:val="008D2456"/>
    <w:rsid w:val="008D2554"/>
    <w:rsid w:val="008D330E"/>
    <w:rsid w:val="008D387A"/>
    <w:rsid w:val="008D4561"/>
    <w:rsid w:val="008E197F"/>
    <w:rsid w:val="008E1FB3"/>
    <w:rsid w:val="008E205E"/>
    <w:rsid w:val="008E7DDE"/>
    <w:rsid w:val="008F0321"/>
    <w:rsid w:val="008F1620"/>
    <w:rsid w:val="008F242F"/>
    <w:rsid w:val="008F48F6"/>
    <w:rsid w:val="008F4B70"/>
    <w:rsid w:val="0090098A"/>
    <w:rsid w:val="00904EE4"/>
    <w:rsid w:val="00905948"/>
    <w:rsid w:val="009212ED"/>
    <w:rsid w:val="00921328"/>
    <w:rsid w:val="00921F34"/>
    <w:rsid w:val="0092298B"/>
    <w:rsid w:val="00933091"/>
    <w:rsid w:val="00933166"/>
    <w:rsid w:val="00936C07"/>
    <w:rsid w:val="00937BF7"/>
    <w:rsid w:val="00937E93"/>
    <w:rsid w:val="00941770"/>
    <w:rsid w:val="00942C89"/>
    <w:rsid w:val="00943386"/>
    <w:rsid w:val="009463FE"/>
    <w:rsid w:val="00947211"/>
    <w:rsid w:val="00947B68"/>
    <w:rsid w:val="00952CAF"/>
    <w:rsid w:val="009613C2"/>
    <w:rsid w:val="00962BE8"/>
    <w:rsid w:val="009647C4"/>
    <w:rsid w:val="00967EEF"/>
    <w:rsid w:val="00970D2E"/>
    <w:rsid w:val="00970E9A"/>
    <w:rsid w:val="009724A2"/>
    <w:rsid w:val="00974E0C"/>
    <w:rsid w:val="0097674B"/>
    <w:rsid w:val="00976B16"/>
    <w:rsid w:val="00977C74"/>
    <w:rsid w:val="00977D6E"/>
    <w:rsid w:val="009804F8"/>
    <w:rsid w:val="00980FCF"/>
    <w:rsid w:val="00981152"/>
    <w:rsid w:val="00985506"/>
    <w:rsid w:val="00990D7F"/>
    <w:rsid w:val="0099171D"/>
    <w:rsid w:val="00994FB0"/>
    <w:rsid w:val="009976EB"/>
    <w:rsid w:val="009A0C95"/>
    <w:rsid w:val="009A424D"/>
    <w:rsid w:val="009A6690"/>
    <w:rsid w:val="009A7030"/>
    <w:rsid w:val="009A7799"/>
    <w:rsid w:val="009B054A"/>
    <w:rsid w:val="009B3C68"/>
    <w:rsid w:val="009B4536"/>
    <w:rsid w:val="009B4E8D"/>
    <w:rsid w:val="009B55F2"/>
    <w:rsid w:val="009B7241"/>
    <w:rsid w:val="009B7B80"/>
    <w:rsid w:val="009C0101"/>
    <w:rsid w:val="009C3FFB"/>
    <w:rsid w:val="009C6C9B"/>
    <w:rsid w:val="009D017F"/>
    <w:rsid w:val="009D0630"/>
    <w:rsid w:val="009D6071"/>
    <w:rsid w:val="009E4C11"/>
    <w:rsid w:val="009E58AF"/>
    <w:rsid w:val="009E64FB"/>
    <w:rsid w:val="009E6545"/>
    <w:rsid w:val="009E7086"/>
    <w:rsid w:val="009E70ED"/>
    <w:rsid w:val="009F32A7"/>
    <w:rsid w:val="009F32C7"/>
    <w:rsid w:val="009F41C5"/>
    <w:rsid w:val="009F47BF"/>
    <w:rsid w:val="009F56FA"/>
    <w:rsid w:val="009F648F"/>
    <w:rsid w:val="009F6983"/>
    <w:rsid w:val="00A0161B"/>
    <w:rsid w:val="00A05FAA"/>
    <w:rsid w:val="00A12274"/>
    <w:rsid w:val="00A1301C"/>
    <w:rsid w:val="00A13095"/>
    <w:rsid w:val="00A15FD8"/>
    <w:rsid w:val="00A168C2"/>
    <w:rsid w:val="00A209FE"/>
    <w:rsid w:val="00A2160F"/>
    <w:rsid w:val="00A2164F"/>
    <w:rsid w:val="00A223D5"/>
    <w:rsid w:val="00A239C8"/>
    <w:rsid w:val="00A24CAC"/>
    <w:rsid w:val="00A26A32"/>
    <w:rsid w:val="00A26DFF"/>
    <w:rsid w:val="00A30228"/>
    <w:rsid w:val="00A3263B"/>
    <w:rsid w:val="00A35CCF"/>
    <w:rsid w:val="00A373E2"/>
    <w:rsid w:val="00A4299B"/>
    <w:rsid w:val="00A50882"/>
    <w:rsid w:val="00A50F9D"/>
    <w:rsid w:val="00A51BB6"/>
    <w:rsid w:val="00A51EC9"/>
    <w:rsid w:val="00A53500"/>
    <w:rsid w:val="00A53AC9"/>
    <w:rsid w:val="00A55356"/>
    <w:rsid w:val="00A55D85"/>
    <w:rsid w:val="00A65E6F"/>
    <w:rsid w:val="00A66499"/>
    <w:rsid w:val="00A70F48"/>
    <w:rsid w:val="00A70FA9"/>
    <w:rsid w:val="00A7172E"/>
    <w:rsid w:val="00A719E9"/>
    <w:rsid w:val="00A71BA2"/>
    <w:rsid w:val="00A737C7"/>
    <w:rsid w:val="00A73D5A"/>
    <w:rsid w:val="00A816F4"/>
    <w:rsid w:val="00A82532"/>
    <w:rsid w:val="00A90AB9"/>
    <w:rsid w:val="00A91E78"/>
    <w:rsid w:val="00A93171"/>
    <w:rsid w:val="00A96067"/>
    <w:rsid w:val="00AA03A5"/>
    <w:rsid w:val="00AA1B32"/>
    <w:rsid w:val="00AA404B"/>
    <w:rsid w:val="00AA70DB"/>
    <w:rsid w:val="00AB1680"/>
    <w:rsid w:val="00AB43A1"/>
    <w:rsid w:val="00AB486D"/>
    <w:rsid w:val="00AB6012"/>
    <w:rsid w:val="00AB74C7"/>
    <w:rsid w:val="00AB787D"/>
    <w:rsid w:val="00AC0F3C"/>
    <w:rsid w:val="00AC3105"/>
    <w:rsid w:val="00AC4F6A"/>
    <w:rsid w:val="00AC6ACD"/>
    <w:rsid w:val="00AC7110"/>
    <w:rsid w:val="00AC75EC"/>
    <w:rsid w:val="00AD0F9D"/>
    <w:rsid w:val="00AD206B"/>
    <w:rsid w:val="00AD2C7C"/>
    <w:rsid w:val="00AD2F74"/>
    <w:rsid w:val="00AD3258"/>
    <w:rsid w:val="00AD53C5"/>
    <w:rsid w:val="00AD5929"/>
    <w:rsid w:val="00AD681B"/>
    <w:rsid w:val="00AE14FA"/>
    <w:rsid w:val="00AE239D"/>
    <w:rsid w:val="00AF04D0"/>
    <w:rsid w:val="00AF1EAA"/>
    <w:rsid w:val="00AF2D27"/>
    <w:rsid w:val="00AF3481"/>
    <w:rsid w:val="00AF3C4C"/>
    <w:rsid w:val="00B00816"/>
    <w:rsid w:val="00B01ABD"/>
    <w:rsid w:val="00B02289"/>
    <w:rsid w:val="00B02742"/>
    <w:rsid w:val="00B03383"/>
    <w:rsid w:val="00B03755"/>
    <w:rsid w:val="00B059EA"/>
    <w:rsid w:val="00B05F43"/>
    <w:rsid w:val="00B11926"/>
    <w:rsid w:val="00B150CE"/>
    <w:rsid w:val="00B16C2A"/>
    <w:rsid w:val="00B17746"/>
    <w:rsid w:val="00B2294D"/>
    <w:rsid w:val="00B24687"/>
    <w:rsid w:val="00B2622B"/>
    <w:rsid w:val="00B279F1"/>
    <w:rsid w:val="00B34781"/>
    <w:rsid w:val="00B358A6"/>
    <w:rsid w:val="00B36797"/>
    <w:rsid w:val="00B417A7"/>
    <w:rsid w:val="00B42F06"/>
    <w:rsid w:val="00B43173"/>
    <w:rsid w:val="00B44A10"/>
    <w:rsid w:val="00B46F39"/>
    <w:rsid w:val="00B51B6D"/>
    <w:rsid w:val="00B52896"/>
    <w:rsid w:val="00B55CF1"/>
    <w:rsid w:val="00B57261"/>
    <w:rsid w:val="00B618D8"/>
    <w:rsid w:val="00B62DEE"/>
    <w:rsid w:val="00B62E69"/>
    <w:rsid w:val="00B63164"/>
    <w:rsid w:val="00B64C3C"/>
    <w:rsid w:val="00B67079"/>
    <w:rsid w:val="00B679DA"/>
    <w:rsid w:val="00B67C51"/>
    <w:rsid w:val="00B737DA"/>
    <w:rsid w:val="00B75C7F"/>
    <w:rsid w:val="00B77AE2"/>
    <w:rsid w:val="00B81388"/>
    <w:rsid w:val="00B83C43"/>
    <w:rsid w:val="00B85442"/>
    <w:rsid w:val="00B85C6F"/>
    <w:rsid w:val="00B86F8F"/>
    <w:rsid w:val="00B9061D"/>
    <w:rsid w:val="00B90AE5"/>
    <w:rsid w:val="00B91A7D"/>
    <w:rsid w:val="00B91BBE"/>
    <w:rsid w:val="00B91D39"/>
    <w:rsid w:val="00B925AF"/>
    <w:rsid w:val="00B9538A"/>
    <w:rsid w:val="00B95477"/>
    <w:rsid w:val="00B979C0"/>
    <w:rsid w:val="00BA119C"/>
    <w:rsid w:val="00BA3E0C"/>
    <w:rsid w:val="00BA4DBF"/>
    <w:rsid w:val="00BA4FC4"/>
    <w:rsid w:val="00BA66F6"/>
    <w:rsid w:val="00BA6B82"/>
    <w:rsid w:val="00BB1928"/>
    <w:rsid w:val="00BB2F43"/>
    <w:rsid w:val="00BB33E0"/>
    <w:rsid w:val="00BB44E8"/>
    <w:rsid w:val="00BB49E0"/>
    <w:rsid w:val="00BB519F"/>
    <w:rsid w:val="00BB5E9F"/>
    <w:rsid w:val="00BB7706"/>
    <w:rsid w:val="00BC0149"/>
    <w:rsid w:val="00BC145B"/>
    <w:rsid w:val="00BC17B0"/>
    <w:rsid w:val="00BC6325"/>
    <w:rsid w:val="00BC7B5F"/>
    <w:rsid w:val="00BD161B"/>
    <w:rsid w:val="00BD17A6"/>
    <w:rsid w:val="00BD1CB0"/>
    <w:rsid w:val="00BD2937"/>
    <w:rsid w:val="00BD4F58"/>
    <w:rsid w:val="00BD699C"/>
    <w:rsid w:val="00BD6B95"/>
    <w:rsid w:val="00BE2470"/>
    <w:rsid w:val="00BE475D"/>
    <w:rsid w:val="00BE60A0"/>
    <w:rsid w:val="00BE60E8"/>
    <w:rsid w:val="00BE6CB7"/>
    <w:rsid w:val="00BF2973"/>
    <w:rsid w:val="00BF49B1"/>
    <w:rsid w:val="00BF52E8"/>
    <w:rsid w:val="00BF768E"/>
    <w:rsid w:val="00C0205C"/>
    <w:rsid w:val="00C06446"/>
    <w:rsid w:val="00C1094D"/>
    <w:rsid w:val="00C10E85"/>
    <w:rsid w:val="00C116B8"/>
    <w:rsid w:val="00C12929"/>
    <w:rsid w:val="00C1311D"/>
    <w:rsid w:val="00C14A16"/>
    <w:rsid w:val="00C155C1"/>
    <w:rsid w:val="00C1572C"/>
    <w:rsid w:val="00C179B0"/>
    <w:rsid w:val="00C2004C"/>
    <w:rsid w:val="00C20078"/>
    <w:rsid w:val="00C2007A"/>
    <w:rsid w:val="00C20EC2"/>
    <w:rsid w:val="00C21959"/>
    <w:rsid w:val="00C24D0C"/>
    <w:rsid w:val="00C26955"/>
    <w:rsid w:val="00C2695D"/>
    <w:rsid w:val="00C27E09"/>
    <w:rsid w:val="00C32D55"/>
    <w:rsid w:val="00C337F9"/>
    <w:rsid w:val="00C342A7"/>
    <w:rsid w:val="00C3782E"/>
    <w:rsid w:val="00C37E20"/>
    <w:rsid w:val="00C41660"/>
    <w:rsid w:val="00C41D71"/>
    <w:rsid w:val="00C50A39"/>
    <w:rsid w:val="00C520A9"/>
    <w:rsid w:val="00C5235A"/>
    <w:rsid w:val="00C52E20"/>
    <w:rsid w:val="00C53519"/>
    <w:rsid w:val="00C54E29"/>
    <w:rsid w:val="00C60CAF"/>
    <w:rsid w:val="00C61E73"/>
    <w:rsid w:val="00C63F1D"/>
    <w:rsid w:val="00C65B08"/>
    <w:rsid w:val="00C67E01"/>
    <w:rsid w:val="00C714EA"/>
    <w:rsid w:val="00C729FE"/>
    <w:rsid w:val="00C745CC"/>
    <w:rsid w:val="00C76B8F"/>
    <w:rsid w:val="00C77B9D"/>
    <w:rsid w:val="00C77D45"/>
    <w:rsid w:val="00C8113D"/>
    <w:rsid w:val="00C824C7"/>
    <w:rsid w:val="00C8320B"/>
    <w:rsid w:val="00C841A3"/>
    <w:rsid w:val="00C87310"/>
    <w:rsid w:val="00C920E6"/>
    <w:rsid w:val="00C92939"/>
    <w:rsid w:val="00C94D69"/>
    <w:rsid w:val="00C95DF2"/>
    <w:rsid w:val="00C96E90"/>
    <w:rsid w:val="00C97FF6"/>
    <w:rsid w:val="00CB263D"/>
    <w:rsid w:val="00CB2C1C"/>
    <w:rsid w:val="00CB2ED5"/>
    <w:rsid w:val="00CB4644"/>
    <w:rsid w:val="00CB6D19"/>
    <w:rsid w:val="00CC0D43"/>
    <w:rsid w:val="00CC3B07"/>
    <w:rsid w:val="00CC40E4"/>
    <w:rsid w:val="00CC63BB"/>
    <w:rsid w:val="00CC795A"/>
    <w:rsid w:val="00CD0E3D"/>
    <w:rsid w:val="00CE2155"/>
    <w:rsid w:val="00CE653F"/>
    <w:rsid w:val="00CE6C2B"/>
    <w:rsid w:val="00CF0450"/>
    <w:rsid w:val="00CF106D"/>
    <w:rsid w:val="00CF1889"/>
    <w:rsid w:val="00CF365B"/>
    <w:rsid w:val="00CF6FF5"/>
    <w:rsid w:val="00CF78C0"/>
    <w:rsid w:val="00D00308"/>
    <w:rsid w:val="00D017F7"/>
    <w:rsid w:val="00D01E7F"/>
    <w:rsid w:val="00D01EB5"/>
    <w:rsid w:val="00D02AAD"/>
    <w:rsid w:val="00D060B9"/>
    <w:rsid w:val="00D07A89"/>
    <w:rsid w:val="00D11C99"/>
    <w:rsid w:val="00D1322A"/>
    <w:rsid w:val="00D1516B"/>
    <w:rsid w:val="00D15298"/>
    <w:rsid w:val="00D1569D"/>
    <w:rsid w:val="00D17DC4"/>
    <w:rsid w:val="00D213ED"/>
    <w:rsid w:val="00D24275"/>
    <w:rsid w:val="00D24A0B"/>
    <w:rsid w:val="00D30734"/>
    <w:rsid w:val="00D319C7"/>
    <w:rsid w:val="00D31C6F"/>
    <w:rsid w:val="00D324D5"/>
    <w:rsid w:val="00D34F3F"/>
    <w:rsid w:val="00D35AF4"/>
    <w:rsid w:val="00D37D03"/>
    <w:rsid w:val="00D421B3"/>
    <w:rsid w:val="00D43721"/>
    <w:rsid w:val="00D44BFA"/>
    <w:rsid w:val="00D4646C"/>
    <w:rsid w:val="00D528DE"/>
    <w:rsid w:val="00D57375"/>
    <w:rsid w:val="00D61D00"/>
    <w:rsid w:val="00D61F03"/>
    <w:rsid w:val="00D636E4"/>
    <w:rsid w:val="00D64D19"/>
    <w:rsid w:val="00D6538F"/>
    <w:rsid w:val="00D667AD"/>
    <w:rsid w:val="00D7114B"/>
    <w:rsid w:val="00D7373B"/>
    <w:rsid w:val="00D742E7"/>
    <w:rsid w:val="00D8218A"/>
    <w:rsid w:val="00D8226C"/>
    <w:rsid w:val="00D86188"/>
    <w:rsid w:val="00D87529"/>
    <w:rsid w:val="00D87815"/>
    <w:rsid w:val="00D91C93"/>
    <w:rsid w:val="00D9386B"/>
    <w:rsid w:val="00D938CF"/>
    <w:rsid w:val="00D9532D"/>
    <w:rsid w:val="00D958DB"/>
    <w:rsid w:val="00D97B31"/>
    <w:rsid w:val="00DA2378"/>
    <w:rsid w:val="00DA4E6D"/>
    <w:rsid w:val="00DA64C2"/>
    <w:rsid w:val="00DB3E5A"/>
    <w:rsid w:val="00DB6154"/>
    <w:rsid w:val="00DC2180"/>
    <w:rsid w:val="00DC2D2B"/>
    <w:rsid w:val="00DC4B53"/>
    <w:rsid w:val="00DC5BDE"/>
    <w:rsid w:val="00DC66FE"/>
    <w:rsid w:val="00DC7696"/>
    <w:rsid w:val="00DD0162"/>
    <w:rsid w:val="00DE44B1"/>
    <w:rsid w:val="00DF20D1"/>
    <w:rsid w:val="00DF21C0"/>
    <w:rsid w:val="00DF3B26"/>
    <w:rsid w:val="00DF4CAB"/>
    <w:rsid w:val="00DF4EB0"/>
    <w:rsid w:val="00DF71BE"/>
    <w:rsid w:val="00E04F49"/>
    <w:rsid w:val="00E05FB5"/>
    <w:rsid w:val="00E06E5A"/>
    <w:rsid w:val="00E12E59"/>
    <w:rsid w:val="00E13945"/>
    <w:rsid w:val="00E162FB"/>
    <w:rsid w:val="00E16C00"/>
    <w:rsid w:val="00E260F8"/>
    <w:rsid w:val="00E30245"/>
    <w:rsid w:val="00E32E46"/>
    <w:rsid w:val="00E34AA4"/>
    <w:rsid w:val="00E379F3"/>
    <w:rsid w:val="00E40DFD"/>
    <w:rsid w:val="00E438C0"/>
    <w:rsid w:val="00E44369"/>
    <w:rsid w:val="00E4478F"/>
    <w:rsid w:val="00E449D0"/>
    <w:rsid w:val="00E473B2"/>
    <w:rsid w:val="00E51625"/>
    <w:rsid w:val="00E5592C"/>
    <w:rsid w:val="00E57830"/>
    <w:rsid w:val="00E60762"/>
    <w:rsid w:val="00E618D3"/>
    <w:rsid w:val="00E63333"/>
    <w:rsid w:val="00E63552"/>
    <w:rsid w:val="00E64CC9"/>
    <w:rsid w:val="00E66BA9"/>
    <w:rsid w:val="00E66C8F"/>
    <w:rsid w:val="00E7042A"/>
    <w:rsid w:val="00E70ABF"/>
    <w:rsid w:val="00E7146D"/>
    <w:rsid w:val="00E74BC9"/>
    <w:rsid w:val="00E80CC7"/>
    <w:rsid w:val="00E81032"/>
    <w:rsid w:val="00E813E7"/>
    <w:rsid w:val="00E81454"/>
    <w:rsid w:val="00E834D6"/>
    <w:rsid w:val="00E84260"/>
    <w:rsid w:val="00E84274"/>
    <w:rsid w:val="00E84AC4"/>
    <w:rsid w:val="00E902BE"/>
    <w:rsid w:val="00E951EB"/>
    <w:rsid w:val="00E958DE"/>
    <w:rsid w:val="00E97948"/>
    <w:rsid w:val="00E97B0C"/>
    <w:rsid w:val="00EA06FB"/>
    <w:rsid w:val="00EA10DE"/>
    <w:rsid w:val="00EA1F05"/>
    <w:rsid w:val="00EA369B"/>
    <w:rsid w:val="00EA37CD"/>
    <w:rsid w:val="00EA39DC"/>
    <w:rsid w:val="00EA4A74"/>
    <w:rsid w:val="00EA6DE5"/>
    <w:rsid w:val="00EA7E26"/>
    <w:rsid w:val="00EB2B0A"/>
    <w:rsid w:val="00EB36B9"/>
    <w:rsid w:val="00EB4DD4"/>
    <w:rsid w:val="00EB71DA"/>
    <w:rsid w:val="00EB7541"/>
    <w:rsid w:val="00EC0F84"/>
    <w:rsid w:val="00EC11B2"/>
    <w:rsid w:val="00EC472F"/>
    <w:rsid w:val="00EC4785"/>
    <w:rsid w:val="00EC6C65"/>
    <w:rsid w:val="00ED2EE4"/>
    <w:rsid w:val="00ED54D4"/>
    <w:rsid w:val="00ED6FA4"/>
    <w:rsid w:val="00EE1494"/>
    <w:rsid w:val="00EE1D83"/>
    <w:rsid w:val="00EE6737"/>
    <w:rsid w:val="00EE7D4F"/>
    <w:rsid w:val="00EE7D9F"/>
    <w:rsid w:val="00EF5DA9"/>
    <w:rsid w:val="00EF73FA"/>
    <w:rsid w:val="00EF79DA"/>
    <w:rsid w:val="00F013DC"/>
    <w:rsid w:val="00F02D6E"/>
    <w:rsid w:val="00F051F0"/>
    <w:rsid w:val="00F05A61"/>
    <w:rsid w:val="00F100BE"/>
    <w:rsid w:val="00F10291"/>
    <w:rsid w:val="00F12655"/>
    <w:rsid w:val="00F12750"/>
    <w:rsid w:val="00F12F00"/>
    <w:rsid w:val="00F13D20"/>
    <w:rsid w:val="00F14674"/>
    <w:rsid w:val="00F155D4"/>
    <w:rsid w:val="00F16885"/>
    <w:rsid w:val="00F17AEE"/>
    <w:rsid w:val="00F2016B"/>
    <w:rsid w:val="00F22C11"/>
    <w:rsid w:val="00F22CDC"/>
    <w:rsid w:val="00F302E1"/>
    <w:rsid w:val="00F31965"/>
    <w:rsid w:val="00F349D8"/>
    <w:rsid w:val="00F40AEF"/>
    <w:rsid w:val="00F43175"/>
    <w:rsid w:val="00F434A3"/>
    <w:rsid w:val="00F43ABF"/>
    <w:rsid w:val="00F45338"/>
    <w:rsid w:val="00F51B8E"/>
    <w:rsid w:val="00F541CC"/>
    <w:rsid w:val="00F54741"/>
    <w:rsid w:val="00F56D5D"/>
    <w:rsid w:val="00F612B1"/>
    <w:rsid w:val="00F64BCD"/>
    <w:rsid w:val="00F651F4"/>
    <w:rsid w:val="00F661FF"/>
    <w:rsid w:val="00F66803"/>
    <w:rsid w:val="00F67217"/>
    <w:rsid w:val="00F71078"/>
    <w:rsid w:val="00F725B7"/>
    <w:rsid w:val="00F7413D"/>
    <w:rsid w:val="00F7455F"/>
    <w:rsid w:val="00F80593"/>
    <w:rsid w:val="00F81141"/>
    <w:rsid w:val="00F826A5"/>
    <w:rsid w:val="00F8399A"/>
    <w:rsid w:val="00F846A3"/>
    <w:rsid w:val="00F8486A"/>
    <w:rsid w:val="00F84F29"/>
    <w:rsid w:val="00F85B64"/>
    <w:rsid w:val="00F85CEA"/>
    <w:rsid w:val="00F86023"/>
    <w:rsid w:val="00F86ADB"/>
    <w:rsid w:val="00F87C67"/>
    <w:rsid w:val="00F90BF3"/>
    <w:rsid w:val="00F90CDB"/>
    <w:rsid w:val="00F9280C"/>
    <w:rsid w:val="00F92AE4"/>
    <w:rsid w:val="00F95746"/>
    <w:rsid w:val="00F96DF2"/>
    <w:rsid w:val="00FA032A"/>
    <w:rsid w:val="00FA5424"/>
    <w:rsid w:val="00FA6E33"/>
    <w:rsid w:val="00FA7809"/>
    <w:rsid w:val="00FB14FF"/>
    <w:rsid w:val="00FB2B8C"/>
    <w:rsid w:val="00FB3D66"/>
    <w:rsid w:val="00FB4CC9"/>
    <w:rsid w:val="00FB4E91"/>
    <w:rsid w:val="00FB4FF3"/>
    <w:rsid w:val="00FC3483"/>
    <w:rsid w:val="00FC3AD0"/>
    <w:rsid w:val="00FC4E58"/>
    <w:rsid w:val="00FC5828"/>
    <w:rsid w:val="00FD164A"/>
    <w:rsid w:val="00FD48EE"/>
    <w:rsid w:val="00FD4F64"/>
    <w:rsid w:val="00FD7028"/>
    <w:rsid w:val="00FD77C2"/>
    <w:rsid w:val="00FE1E79"/>
    <w:rsid w:val="00FE31AF"/>
    <w:rsid w:val="00FE3655"/>
    <w:rsid w:val="00FE3BDE"/>
    <w:rsid w:val="00FE7982"/>
    <w:rsid w:val="00FF1453"/>
    <w:rsid w:val="00FF3298"/>
    <w:rsid w:val="00FF5CB3"/>
    <w:rsid w:val="00FF604A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4647"/>
  <w15:docId w15:val="{4E212A5D-AF7B-4DB3-8F13-445F9663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1A3"/>
    <w:pPr>
      <w:autoSpaceDE w:val="0"/>
      <w:autoSpaceDN w:val="0"/>
      <w:adjustRightInd w:val="0"/>
      <w:spacing w:after="0" w:line="240" w:lineRule="auto"/>
    </w:pPr>
    <w:rPr>
      <w:rFonts w:ascii="Stem Text Italic" w:hAnsi="Stem Text Italic" w:cs="Stem Text Ital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841A3"/>
    <w:pPr>
      <w:spacing w:line="20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C841A3"/>
    <w:rPr>
      <w:rFonts w:cs="Stem Text Italic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C841A3"/>
    <w:pPr>
      <w:spacing w:line="20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C841A3"/>
    <w:rPr>
      <w:rFonts w:ascii="Stem Medium" w:hAnsi="Stem Medium" w:cs="Stem Medium"/>
      <w:color w:val="000000"/>
      <w:sz w:val="64"/>
      <w:szCs w:val="64"/>
    </w:rPr>
  </w:style>
  <w:style w:type="paragraph" w:customStyle="1" w:styleId="Pa2">
    <w:name w:val="Pa2"/>
    <w:basedOn w:val="Default"/>
    <w:next w:val="Default"/>
    <w:uiPriority w:val="99"/>
    <w:rsid w:val="00C841A3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C841A3"/>
    <w:rPr>
      <w:rFonts w:ascii="Stem Medium" w:hAnsi="Stem Medium" w:cs="Stem Medium"/>
      <w:color w:val="000000"/>
      <w:sz w:val="36"/>
      <w:szCs w:val="36"/>
    </w:rPr>
  </w:style>
  <w:style w:type="character" w:customStyle="1" w:styleId="A4">
    <w:name w:val="A4"/>
    <w:uiPriority w:val="99"/>
    <w:rsid w:val="00C841A3"/>
    <w:rPr>
      <w:rFonts w:ascii="Stem Medium" w:hAnsi="Stem Medium" w:cs="Stem Medium"/>
      <w:color w:val="000000"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C841A3"/>
    <w:pPr>
      <w:spacing w:line="16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C841A3"/>
    <w:rPr>
      <w:rFonts w:ascii="Stem Extra Light" w:hAnsi="Stem Extra Light" w:cs="Stem Extra Light"/>
      <w:color w:val="000000"/>
      <w:sz w:val="32"/>
      <w:szCs w:val="32"/>
    </w:rPr>
  </w:style>
  <w:style w:type="paragraph" w:styleId="a3">
    <w:name w:val="Normal (Web)"/>
    <w:basedOn w:val="a"/>
    <w:uiPriority w:val="99"/>
    <w:unhideWhenUsed/>
    <w:rsid w:val="0068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33BC"/>
    <w:pPr>
      <w:ind w:left="720"/>
      <w:contextualSpacing/>
    </w:pPr>
  </w:style>
  <w:style w:type="paragraph" w:styleId="2">
    <w:name w:val="Body Text 2"/>
    <w:basedOn w:val="a"/>
    <w:link w:val="20"/>
    <w:rsid w:val="00FA7809"/>
    <w:pPr>
      <w:spacing w:before="120" w:after="20" w:line="240" w:lineRule="auto"/>
    </w:pPr>
    <w:rPr>
      <w:rFonts w:ascii="Times New Roman" w:eastAsia="Times New Roman" w:hAnsi="Times New Roman" w:cs="Times New Roman"/>
      <w:bCs/>
      <w:sz w:val="16"/>
      <w:szCs w:val="32"/>
      <w:lang w:eastAsia="ru-RU"/>
    </w:rPr>
  </w:style>
  <w:style w:type="character" w:customStyle="1" w:styleId="20">
    <w:name w:val="Основной текст 2 Знак"/>
    <w:basedOn w:val="a0"/>
    <w:link w:val="2"/>
    <w:rsid w:val="00FA7809"/>
    <w:rPr>
      <w:rFonts w:ascii="Times New Roman" w:eastAsia="Times New Roman" w:hAnsi="Times New Roman" w:cs="Times New Roman"/>
      <w:bCs/>
      <w:sz w:val="16"/>
      <w:szCs w:val="32"/>
      <w:lang w:eastAsia="ru-RU"/>
    </w:rPr>
  </w:style>
  <w:style w:type="paragraph" w:customStyle="1" w:styleId="a7">
    <w:name w:val="Основной текст с красной"/>
    <w:basedOn w:val="a8"/>
    <w:rsid w:val="00FA7809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FA78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A7809"/>
  </w:style>
  <w:style w:type="paragraph" w:styleId="21">
    <w:name w:val="Body Text Indent 2"/>
    <w:basedOn w:val="a"/>
    <w:link w:val="22"/>
    <w:uiPriority w:val="99"/>
    <w:unhideWhenUsed/>
    <w:rsid w:val="00B9547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5477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A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2CD"/>
  </w:style>
  <w:style w:type="paragraph" w:styleId="ac">
    <w:name w:val="footer"/>
    <w:basedOn w:val="a"/>
    <w:link w:val="ad"/>
    <w:uiPriority w:val="99"/>
    <w:unhideWhenUsed/>
    <w:rsid w:val="001A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2CD"/>
  </w:style>
  <w:style w:type="character" w:styleId="ae">
    <w:name w:val="Strong"/>
    <w:basedOn w:val="a0"/>
    <w:uiPriority w:val="22"/>
    <w:qFormat/>
    <w:rsid w:val="000257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2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57BE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850040"/>
    <w:rPr>
      <w:color w:val="1362CF"/>
      <w:u w:val="single"/>
    </w:rPr>
  </w:style>
  <w:style w:type="paragraph" w:customStyle="1" w:styleId="af2">
    <w:name w:val="Таблица цифры"/>
    <w:basedOn w:val="a"/>
    <w:rsid w:val="00AB787D"/>
    <w:pPr>
      <w:tabs>
        <w:tab w:val="left" w:pos="113"/>
        <w:tab w:val="left" w:pos="227"/>
        <w:tab w:val="left" w:pos="340"/>
        <w:tab w:val="left" w:pos="454"/>
        <w:tab w:val="left" w:pos="680"/>
      </w:tabs>
      <w:spacing w:before="40" w:after="40" w:line="240" w:lineRule="auto"/>
      <w:jc w:val="right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Plain Text"/>
    <w:basedOn w:val="a"/>
    <w:link w:val="af4"/>
    <w:uiPriority w:val="99"/>
    <w:rsid w:val="00713F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713F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3F6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3F69"/>
  </w:style>
  <w:style w:type="character" w:styleId="af7">
    <w:name w:val="footnote reference"/>
    <w:uiPriority w:val="99"/>
    <w:semiHidden/>
    <w:rsid w:val="0067640D"/>
    <w:rPr>
      <w:vertAlign w:val="superscript"/>
    </w:rPr>
  </w:style>
  <w:style w:type="paragraph" w:styleId="af8">
    <w:name w:val="footnote text"/>
    <w:basedOn w:val="a"/>
    <w:link w:val="af9"/>
    <w:rsid w:val="00676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676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0098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0098A"/>
    <w:rPr>
      <w:rFonts w:ascii="Calibri" w:eastAsia="Calibri" w:hAnsi="Calibri" w:cs="Times New Roman"/>
      <w:sz w:val="16"/>
      <w:szCs w:val="16"/>
    </w:rPr>
  </w:style>
  <w:style w:type="character" w:styleId="afa">
    <w:name w:val="Unresolved Mention"/>
    <w:basedOn w:val="a0"/>
    <w:uiPriority w:val="99"/>
    <w:semiHidden/>
    <w:unhideWhenUsed/>
    <w:rsid w:val="000907E7"/>
    <w:rPr>
      <w:color w:val="605E5C"/>
      <w:shd w:val="clear" w:color="auto" w:fill="E1DFDD"/>
    </w:rPr>
  </w:style>
  <w:style w:type="paragraph" w:customStyle="1" w:styleId="richfactdown-paragraph">
    <w:name w:val="richfactdown-paragraph"/>
    <w:basedOn w:val="a"/>
    <w:rsid w:val="00D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B0274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02742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02742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0274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02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8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9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7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37B1-D71B-4655-9507-A390AA30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8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P31_MaminAN</dc:creator>
  <cp:lastModifiedBy>Мамин Андрей Николаевич</cp:lastModifiedBy>
  <cp:revision>131</cp:revision>
  <cp:lastPrinted>2025-03-13T15:21:00Z</cp:lastPrinted>
  <dcterms:created xsi:type="dcterms:W3CDTF">2025-03-03T16:31:00Z</dcterms:created>
  <dcterms:modified xsi:type="dcterms:W3CDTF">2025-03-21T09:54:00Z</dcterms:modified>
</cp:coreProperties>
</file>